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framePr w:wrap="around"/>
        <w:rPr>
          <w:rFonts w:ascii="Times New Roman"/>
        </w:rPr>
      </w:pPr>
      <w:r>
        <w:rPr>
          <w:rFonts w:ascii="Times New Roman"/>
        </w:rPr>
        <w:t>ICS</w:t>
      </w:r>
      <w:r>
        <w:rPr>
          <w:rFonts w:hint="eastAsia" w:ascii="Times New Roman"/>
        </w:rPr>
        <w:t xml:space="preserve"> 77.080.01</w:t>
      </w:r>
    </w:p>
    <w:p>
      <w:pPr>
        <w:pStyle w:val="132"/>
        <w:framePr w:wrap="around"/>
        <w:rPr>
          <w:rFonts w:ascii="Times New Roman"/>
        </w:rPr>
      </w:pPr>
      <w:r>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bookmarkStart w:id="0" w:name="WXFLH"/>
      <w:r>
        <w:rPr>
          <w:rFonts w:ascii="Times New Roman"/>
        </w:rPr>
        <w:instrText xml:space="preserve">FORMTEXT</w:instrText>
      </w:r>
      <w:r>
        <w:rPr>
          <w:rFonts w:ascii="Times New Roman"/>
        </w:rPr>
        <w:fldChar w:fldCharType="separate"/>
      </w:r>
      <w:r>
        <w:rPr>
          <w:rFonts w:ascii="Times New Roman"/>
        </w:rPr>
        <w:t xml:space="preserve">H </w:t>
      </w:r>
      <w:r>
        <w:rPr>
          <w:rFonts w:ascii="Times New Roman"/>
        </w:rPr>
        <w:fldChar w:fldCharType="end"/>
      </w:r>
      <w:bookmarkEnd w:id="0"/>
      <w:r>
        <w:rPr>
          <w:rFonts w:hint="eastAsia" w:ascii="Times New Roman"/>
        </w:rPr>
        <w:t>04</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tcBorders>
              <w:top w:val="nil"/>
              <w:left w:val="nil"/>
              <w:bottom w:val="nil"/>
              <w:right w:val="nil"/>
            </w:tcBorders>
          </w:tcPr>
          <w:p>
            <w:pPr>
              <w:pStyle w:val="132"/>
              <w:framePr w:wrap="around"/>
              <w:rPr>
                <w:rFonts w:ascii="Times New Roman"/>
              </w:rPr>
            </w:pPr>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13"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Iri/s1QAAAAcBAAAPAAAAAAAAAAEA&#10;IAAAACIAAABkcnMvZG93bnJldi54bWxQSwECFAAUAAAACACHTuJATG6H1BICAAAvBAAADgAAAAAA&#10;AAABACAAAAAkAQAAZHJzL2Uyb0RvYy54bWxQSwUGAAAAAAYABgBZAQAAqAUAAAAA&#10;">
                      <v:fill on="t" focussize="0,0"/>
                      <v:stroke on="f"/>
                      <v:imagedata o:title=""/>
                      <o:lock v:ext="edit" aspectratio="f"/>
                    </v:rect>
                  </w:pict>
                </mc:Fallback>
              </mc:AlternateContent>
            </w:r>
            <w:r>
              <w:rPr>
                <w:rFonts w:ascii="Times New Roman"/>
              </w:rPr>
              <w:fldChar w:fldCharType="begin">
                <w:ffData>
                  <w:name w:val="BAH"/>
                  <w:enabled/>
                  <w:calcOnExit w:val="0"/>
                  <w:textInput/>
                </w:ffData>
              </w:fldChar>
            </w:r>
            <w:bookmarkStart w:id="1" w:name="BAH"/>
            <w:r>
              <w:rPr>
                <w:rFonts w:ascii="Times New Roman"/>
              </w:rPr>
              <w:instrText xml:space="preserve">FORMTEXT</w:instrText>
            </w:r>
            <w:r>
              <w:rPr>
                <w:rFonts w:ascii="Times New Roman"/>
              </w:rPr>
              <w:fldChar w:fldCharType="separate"/>
            </w:r>
            <w:r>
              <w:rPr>
                <w:rFonts w:ascii="Times New Roman"/>
              </w:rPr>
              <w:t>     </w:t>
            </w:r>
            <w:r>
              <w:rPr>
                <w:rFonts w:ascii="Times New Roman"/>
              </w:rPr>
              <w:fldChar w:fldCharType="end"/>
            </w:r>
            <w:bookmarkEnd w:id="1"/>
          </w:p>
        </w:tc>
      </w:tr>
    </w:tbl>
    <w:p>
      <w:pPr>
        <w:pStyle w:val="112"/>
        <w:framePr w:wrap="around"/>
      </w:pPr>
      <w:r>
        <w:fldChar w:fldCharType="begin">
          <w:ffData>
            <w:name w:val="c1"/>
            <w:enabled/>
            <w:calcOnExit w:val="0"/>
            <w:textInput>
              <w:maxLength w:val="2"/>
            </w:textInput>
          </w:ffData>
        </w:fldChar>
      </w:r>
      <w:bookmarkStart w:id="2" w:name="c1"/>
      <w:r>
        <w:instrText xml:space="preserve">FORMTEXT</w:instrText>
      </w:r>
      <w:r>
        <w:fldChar w:fldCharType="separate"/>
      </w:r>
      <w:r>
        <w:t>YB</w:t>
      </w:r>
      <w:r>
        <w:fldChar w:fldCharType="end"/>
      </w:r>
      <w:bookmarkEnd w:id="2"/>
    </w:p>
    <w:p>
      <w:pPr>
        <w:pStyle w:val="150"/>
        <w:framePr w:wrap="around"/>
        <w:rPr>
          <w:rFonts w:ascii="Times New Roman" w:hAnsi="Times New Roman"/>
        </w:rPr>
      </w:pPr>
      <w:r>
        <w:rPr>
          <w:rFonts w:ascii="Times New Roman" w:hAnsi="Times New Roman"/>
        </w:rPr>
        <w:t>中华人民共和国</w:t>
      </w:r>
      <w:r>
        <w:rPr>
          <w:rFonts w:ascii="Times New Roman" w:hAnsi="Times New Roman"/>
        </w:rPr>
        <w:fldChar w:fldCharType="begin">
          <w:ffData>
            <w:name w:val="c2"/>
            <w:enabled/>
            <w:calcOnExit w:val="0"/>
            <w:textInput/>
          </w:ffData>
        </w:fldChar>
      </w:r>
      <w:bookmarkStart w:id="3" w:name="c2"/>
      <w:r>
        <w:rPr>
          <w:rFonts w:ascii="Times New Roman" w:hAnsi="Times New Roman"/>
        </w:rPr>
        <w:instrText xml:space="preserve">FORMTEXT</w:instrText>
      </w:r>
      <w:r>
        <w:rPr>
          <w:rFonts w:ascii="Times New Roman" w:hAnsi="Times New Roman"/>
        </w:rPr>
        <w:fldChar w:fldCharType="separate"/>
      </w:r>
      <w:r>
        <w:rPr>
          <w:rFonts w:ascii="Times New Roman" w:hAnsi="Times New Roman"/>
        </w:rPr>
        <w:t>黑色冶金</w:t>
      </w:r>
      <w:r>
        <w:rPr>
          <w:rFonts w:ascii="Times New Roman" w:hAnsi="Times New Roman"/>
        </w:rPr>
        <w:fldChar w:fldCharType="end"/>
      </w:r>
      <w:bookmarkEnd w:id="3"/>
      <w:r>
        <w:rPr>
          <w:rFonts w:ascii="Times New Roman" w:hAnsi="Times New Roman"/>
        </w:rPr>
        <w:t>行业标准</w:t>
      </w:r>
    </w:p>
    <w:p>
      <w:pPr>
        <w:pStyle w:val="105"/>
        <w:framePr w:wrap="around"/>
        <w:rPr>
          <w:rFonts w:ascii="Times New Roman"/>
        </w:rPr>
      </w:pPr>
      <w:r>
        <w:rPr>
          <w:rFonts w:ascii="Times New Roman"/>
        </w:rPr>
        <w:fldChar w:fldCharType="begin">
          <w:ffData>
            <w:name w:val="StdNo0"/>
            <w:enabled/>
            <w:calcOnExit w:val="0"/>
            <w:textInput>
              <w:default w:val="XX"/>
              <w:maxLength w:val="2"/>
            </w:textInput>
          </w:ffData>
        </w:fldChar>
      </w:r>
      <w:bookmarkStart w:id="4" w:name="StdNo0"/>
      <w:r>
        <w:rPr>
          <w:rFonts w:ascii="Times New Roman"/>
        </w:rPr>
        <w:instrText xml:space="preserve">FORMTEXT</w:instrText>
      </w:r>
      <w:r>
        <w:rPr>
          <w:rFonts w:ascii="Times New Roman"/>
        </w:rPr>
        <w:fldChar w:fldCharType="separate"/>
      </w:r>
      <w:r>
        <w:rPr>
          <w:rFonts w:ascii="Times New Roman"/>
        </w:rPr>
        <w:t>YB</w:t>
      </w:r>
      <w:r>
        <w:rPr>
          <w:rFonts w:ascii="Times New Roman"/>
        </w:rPr>
        <w:fldChar w:fldCharType="end"/>
      </w:r>
      <w:bookmarkEnd w:id="4"/>
      <w:r>
        <w:rPr>
          <w:rFonts w:ascii="Times New Roman"/>
        </w:rPr>
        <w:t xml:space="preserve">/T </w:t>
      </w:r>
      <w:r>
        <w:rPr>
          <w:rFonts w:ascii="Times New Roman"/>
        </w:rPr>
        <w:fldChar w:fldCharType="begin">
          <w:ffData>
            <w:name w:val="StdNo1"/>
            <w:enabled/>
            <w:calcOnExit w:val="0"/>
            <w:textInput>
              <w:default w:val="XXXXX"/>
            </w:textInput>
          </w:ffData>
        </w:fldChar>
      </w:r>
      <w:bookmarkStart w:id="5" w:name="StdNo1"/>
      <w:r>
        <w:rPr>
          <w:rFonts w:ascii="Times New Roman"/>
        </w:rPr>
        <w:instrText xml:space="preserve">FORMTEXT</w:instrText>
      </w:r>
      <w:r>
        <w:rPr>
          <w:rFonts w:ascii="Times New Roman"/>
        </w:rPr>
        <w:fldChar w:fldCharType="separate"/>
      </w:r>
      <w:r>
        <w:rPr>
          <w:rFonts w:ascii="Times New Roman"/>
        </w:rPr>
        <w:t>XXXX</w:t>
      </w:r>
      <w:r>
        <w:rPr>
          <w:rFonts w:ascii="Times New Roman"/>
        </w:rPr>
        <w:fldChar w:fldCharType="end"/>
      </w:r>
      <w:bookmarkEnd w:id="5"/>
      <w:r>
        <w:rPr>
          <w:rFonts w:ascii="Times New Roman"/>
        </w:rPr>
        <w:t>—</w:t>
      </w:r>
      <w:r>
        <w:rPr>
          <w:rFonts w:ascii="Times New Roman"/>
        </w:rPr>
        <w:fldChar w:fldCharType="begin">
          <w:ffData>
            <w:name w:val="StdNo2"/>
            <w:enabled/>
            <w:calcOnExit w:val="0"/>
            <w:textInput>
              <w:default w:val="XXXX"/>
              <w:maxLength w:val="4"/>
            </w:textInput>
          </w:ffData>
        </w:fldChar>
      </w:r>
      <w:bookmarkStart w:id="6" w:name="StdNo2"/>
      <w:r>
        <w:rPr>
          <w:rFonts w:ascii="Times New Roman"/>
        </w:rPr>
        <w:instrText xml:space="preserve">FORMTEXT</w:instrText>
      </w:r>
      <w:r>
        <w:rPr>
          <w:rFonts w:ascii="Times New Roman"/>
        </w:rPr>
        <w:fldChar w:fldCharType="separate"/>
      </w:r>
      <w:r>
        <w:rPr>
          <w:rFonts w:ascii="Times New Roman"/>
        </w:rPr>
        <w:t>XXXX</w:t>
      </w:r>
      <w:r>
        <w:rPr>
          <w:rFonts w:ascii="Times New Roman"/>
        </w:rPr>
        <w:fldChar w:fldCharType="end"/>
      </w:r>
      <w:bookmarkEnd w:id="6"/>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Borders>
              <w:top w:val="nil"/>
              <w:left w:val="nil"/>
              <w:bottom w:val="nil"/>
              <w:right w:val="nil"/>
            </w:tcBorders>
          </w:tcPr>
          <w:p>
            <w:pPr>
              <w:pStyle w:val="89"/>
              <w:framePr w:wrap="around"/>
              <w:rPr>
                <w:rFonts w:ascii="Times New Roman"/>
              </w:rPr>
            </w:pP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4735195</wp:posOffset>
                      </wp:positionH>
                      <wp:positionV relativeFrom="paragraph">
                        <wp:posOffset>34290</wp:posOffset>
                      </wp:positionV>
                      <wp:extent cx="1143000" cy="228600"/>
                      <wp:effectExtent l="0" t="0" r="0" b="0"/>
                      <wp:wrapNone/>
                      <wp:docPr id="11"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5pt;margin-top:2.7pt;height:18pt;width:90pt;z-index:-251657216;mso-width-relative:page;mso-height-relative:page;" fillcolor="#FFFFFF" filled="t" stroked="f" coordsize="21600,21600" o:gfxdata="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SNbeLWAAAACAEAAA8AAAAAAAAAAQAgAAAA&#10;IgAAAGRycy9kb3ducmV2LnhtbFBLAQIUABQAAAAIAIdO4kDCraTDDQIAAC8EAAAOAAAAAAAAAAEA&#10;IAAAACUBAABkcnMvZTJvRG9jLnhtbFBLBQYAAAAABgAGAFkBAACkBQAAAAA=&#10;">
                      <v:fill on="t" focussize="0,0"/>
                      <v:stroke on="f"/>
                      <v:imagedata o:title=""/>
                      <o:lock v:ext="edit" aspectratio="f"/>
                    </v:rect>
                  </w:pict>
                </mc:Fallback>
              </mc:AlternateContent>
            </w:r>
            <w:r>
              <w:rPr>
                <w:rFonts w:ascii="Times New Roman"/>
              </w:rPr>
              <w:fldChar w:fldCharType="begin">
                <w:ffData>
                  <w:name w:val="DT"/>
                  <w:enabled/>
                  <w:calcOnExit w:val="0"/>
                  <w:textInput/>
                </w:ffData>
              </w:fldChar>
            </w:r>
            <w:bookmarkStart w:id="7" w:name="DT"/>
            <w:r>
              <w:rPr>
                <w:rFonts w:ascii="Times New Roman"/>
              </w:rPr>
              <w:instrText xml:space="preserve">FORMTEXT</w:instrText>
            </w:r>
            <w:r>
              <w:rPr>
                <w:rFonts w:ascii="Times New Roman"/>
              </w:rPr>
              <w:fldChar w:fldCharType="separate"/>
            </w:r>
            <w:r>
              <w:rPr>
                <w:rFonts w:ascii="Times New Roman"/>
              </w:rPr>
              <w:t>     </w:t>
            </w:r>
            <w:r>
              <w:rPr>
                <w:rFonts w:ascii="Times New Roman"/>
              </w:rPr>
              <w:fldChar w:fldCharType="end"/>
            </w:r>
            <w:bookmarkEnd w:id="7"/>
          </w:p>
        </w:tc>
      </w:tr>
    </w:tbl>
    <w:p>
      <w:pPr>
        <w:pStyle w:val="105"/>
        <w:framePr w:wrap="around"/>
        <w:rPr>
          <w:rFonts w:ascii="Times New Roman"/>
        </w:rPr>
      </w:pPr>
    </w:p>
    <w:p>
      <w:pPr>
        <w:pStyle w:val="105"/>
        <w:framePr w:wrap="around"/>
        <w:rPr>
          <w:rFonts w:ascii="Times New Roman"/>
        </w:rPr>
      </w:pPr>
    </w:p>
    <w:p>
      <w:pPr>
        <w:pStyle w:val="81"/>
        <w:framePr w:wrap="around" w:x="1497" w:y="6321"/>
        <w:rPr>
          <w:rFonts w:ascii="Times New Roman"/>
        </w:rPr>
      </w:pPr>
      <w:r>
        <w:rPr>
          <w:rFonts w:hint="eastAsia" w:ascii="Times New Roman"/>
        </w:rPr>
        <w:t>取水定额 铁合金</w:t>
      </w:r>
    </w:p>
    <w:p>
      <w:pPr>
        <w:pStyle w:val="80"/>
        <w:framePr w:wrap="around" w:x="1497" w:y="6321"/>
      </w:pPr>
      <w:r>
        <w:rPr>
          <w:rFonts w:hint="eastAsia"/>
        </w:rPr>
        <w:t>Norm of water intake—Ferroalloy</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78"/>
              <w:framePr w:wrap="around" w:x="1497" w:y="6321"/>
              <w:rPr>
                <w:rFonts w:ascii="Times New Roman"/>
              </w:rPr>
            </w:pPr>
            <w:r>
              <w:rPr>
                <w:rFonts w:ascii="Times New Roman"/>
              </w:rPr>
              <w:t>（</w:t>
            </w:r>
            <w:r>
              <w:rPr>
                <w:rFonts w:hint="eastAsia" w:ascii="Times New Roman"/>
                <w:lang w:val="en-US" w:eastAsia="zh-CN"/>
              </w:rPr>
              <w:t>征求意见稿</w:t>
            </w:r>
            <w:bookmarkStart w:id="23" w:name="_GoBack"/>
            <w:bookmarkEnd w:id="23"/>
            <w:r>
              <w:rPr>
                <w:rFonts w:asci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77"/>
              <w:framePr w:wrap="around" w:x="1497" w:y="6321"/>
              <w:rPr>
                <w:rFonts w:ascii="Times New Roman"/>
              </w:rPr>
            </w:pPr>
          </w:p>
        </w:tc>
      </w:tr>
    </w:tbl>
    <w:p>
      <w:pPr>
        <w:pStyle w:val="125"/>
        <w:framePr w:wrap="around" w:hAnchor="page" w:x="1323" w:y="14113"/>
        <w:ind w:left="-1680" w:leftChars="-800" w:firstLine="1680" w:firstLineChars="600"/>
      </w:pPr>
      <w:r>
        <w:fldChar w:fldCharType="begin">
          <w:ffData>
            <w:name w:val="FY"/>
            <w:enabled/>
            <w:calcOnExit w:val="0"/>
            <w:textInput>
              <w:default w:val="XXXX"/>
              <w:maxLength w:val="4"/>
            </w:textInput>
          </w:ffData>
        </w:fldChar>
      </w:r>
      <w:bookmarkStart w:id="8" w:name="FY"/>
      <w:r>
        <w:instrText xml:space="preserve">FORMTEXT</w:instrText>
      </w:r>
      <w:r>
        <w:fldChar w:fldCharType="separate"/>
      </w:r>
      <w:r>
        <w:t>XXXX</w:t>
      </w:r>
      <w:r>
        <w:fldChar w:fldCharType="end"/>
      </w:r>
      <w:bookmarkEnd w:id="8"/>
      <w:r>
        <w:t>-</w:t>
      </w:r>
      <w:r>
        <w:fldChar w:fldCharType="begin">
          <w:ffData>
            <w:name w:val="FM"/>
            <w:enabled/>
            <w:calcOnExit w:val="0"/>
            <w:textInput>
              <w:default w:val="XX"/>
              <w:maxLength w:val="2"/>
            </w:textInput>
          </w:ffData>
        </w:fldChar>
      </w:r>
      <w:r>
        <w:instrText xml:space="preserve">FORMTEXT</w:instrText>
      </w:r>
      <w:r>
        <w:fldChar w:fldCharType="separate"/>
      </w:r>
      <w:r>
        <w:t>XX</w:t>
      </w:r>
      <w:r>
        <w:fldChar w:fldCharType="end"/>
      </w:r>
      <w:r>
        <w:t>-</w:t>
      </w:r>
      <w:r>
        <w:fldChar w:fldCharType="begin">
          <w:ffData>
            <w:name w:val="FD"/>
            <w:enabled/>
            <w:calcOnExit w:val="0"/>
            <w:textInput>
              <w:default w:val="XX"/>
              <w:maxLength w:val="2"/>
            </w:textInput>
          </w:ffData>
        </w:fldChar>
      </w:r>
      <w:bookmarkStart w:id="9" w:name="FD"/>
      <w:r>
        <w:instrText xml:space="preserve">FORMTEXT</w:instrText>
      </w:r>
      <w:r>
        <w:fldChar w:fldCharType="separate"/>
      </w:r>
      <w:r>
        <w:t>XX</w:t>
      </w:r>
      <w:r>
        <w:fldChar w:fldCharType="end"/>
      </w:r>
      <w:bookmarkEnd w:id="9"/>
      <w:r>
        <w:t>发布</w:t>
      </w:r>
    </w:p>
    <w:p>
      <w:pPr>
        <w:pStyle w:val="135"/>
        <w:framePr w:wrap="around" w:hAnchor="page" w:x="6866" w:y="14110"/>
      </w:pPr>
      <w:r>
        <w:fldChar w:fldCharType="begin">
          <w:ffData>
            <w:name w:val="SY"/>
            <w:enabled/>
            <w:calcOnExit w:val="0"/>
            <w:textInput>
              <w:default w:val="XXXX"/>
              <w:maxLength w:val="4"/>
            </w:textInput>
          </w:ffData>
        </w:fldChar>
      </w:r>
      <w:bookmarkStart w:id="10" w:name="SY"/>
      <w:r>
        <w:instrText xml:space="preserve">FORMTEXT</w:instrText>
      </w:r>
      <w:r>
        <w:fldChar w:fldCharType="separate"/>
      </w:r>
      <w:r>
        <w:t>XXXX</w:t>
      </w:r>
      <w:r>
        <w:fldChar w:fldCharType="end"/>
      </w:r>
      <w:bookmarkEnd w:id="10"/>
      <w:r>
        <w:t>-</w:t>
      </w:r>
      <w:r>
        <w:fldChar w:fldCharType="begin">
          <w:ffData>
            <w:name w:val="SM"/>
            <w:enabled/>
            <w:calcOnExit w:val="0"/>
            <w:textInput>
              <w:default w:val="XX"/>
              <w:maxLength w:val="2"/>
            </w:textInput>
          </w:ffData>
        </w:fldChar>
      </w:r>
      <w:bookmarkStart w:id="11" w:name="SM"/>
      <w:r>
        <w:instrText xml:space="preserve">FORMTEXT</w:instrText>
      </w:r>
      <w:r>
        <w:fldChar w:fldCharType="separate"/>
      </w:r>
      <w:r>
        <w:t>XX</w:t>
      </w:r>
      <w:r>
        <w:fldChar w:fldCharType="end"/>
      </w:r>
      <w:bookmarkEnd w:id="11"/>
      <w:r>
        <w:t>-</w:t>
      </w:r>
      <w:r>
        <w:fldChar w:fldCharType="begin">
          <w:ffData>
            <w:name w:val="SD"/>
            <w:enabled/>
            <w:calcOnExit w:val="0"/>
            <w:textInput>
              <w:default w:val="XX"/>
              <w:maxLength w:val="2"/>
            </w:textInput>
          </w:ffData>
        </w:fldChar>
      </w:r>
      <w:bookmarkStart w:id="12" w:name="SD"/>
      <w:r>
        <w:instrText xml:space="preserve">FORMTEXT</w:instrText>
      </w:r>
      <w:r>
        <w:fldChar w:fldCharType="separate"/>
      </w:r>
      <w:r>
        <w:t>XX</w:t>
      </w:r>
      <w:r>
        <w:fldChar w:fldCharType="end"/>
      </w:r>
      <w:bookmarkEnd w:id="12"/>
      <w:r>
        <w:t>实施</w:t>
      </w:r>
    </w:p>
    <w:p>
      <w:pPr>
        <w:pStyle w:val="148"/>
        <w:framePr w:w="8302" w:wrap="around"/>
        <w:rPr>
          <w:rFonts w:ascii="Times New Roman"/>
        </w:rPr>
      </w:pPr>
      <w:r>
        <w:rPr>
          <w:rFonts w:ascii="Times New Roman"/>
        </w:rPr>
        <w:fldChar w:fldCharType="begin">
          <w:ffData>
            <w:name w:val="fm"/>
            <w:enabled/>
            <w:calcOnExit w:val="0"/>
            <w:textInput/>
          </w:ffData>
        </w:fldChar>
      </w:r>
      <w:bookmarkStart w:id="13" w:name="fm"/>
      <w:r>
        <w:rPr>
          <w:rFonts w:ascii="Times New Roman"/>
        </w:rPr>
        <w:instrText xml:space="preserve">FORMTEXT</w:instrText>
      </w:r>
      <w:r>
        <w:rPr>
          <w:rFonts w:ascii="Times New Roman"/>
        </w:rPr>
        <w:fldChar w:fldCharType="separate"/>
      </w:r>
      <w:r>
        <w:rPr>
          <w:rFonts w:ascii="Times New Roman"/>
        </w:rPr>
        <w:t>中华人民共和国工业和信息化部</w:t>
      </w:r>
      <w:r>
        <w:rPr>
          <w:rFonts w:ascii="Times New Roman"/>
        </w:rPr>
        <w:fldChar w:fldCharType="end"/>
      </w:r>
      <w:bookmarkEnd w:id="13"/>
      <w:r>
        <w:rPr>
          <w:rFonts w:ascii="Times New Roman"/>
        </w:rPr>
        <w:t>   </w:t>
      </w:r>
      <w:r>
        <w:rPr>
          <w:rStyle w:val="51"/>
          <w:rFonts w:ascii="Times New Roman"/>
        </w:rPr>
        <w:t>发布</w:t>
      </w:r>
    </w:p>
    <w:p>
      <w:pPr>
        <w:pStyle w:val="25"/>
        <w:rPr>
          <w:rFonts w:ascii="Times New Roman"/>
        </w:rPr>
        <w:sectPr>
          <w:pgSz w:w="11906" w:h="16838"/>
          <w:pgMar w:top="567" w:right="851" w:bottom="1134" w:left="1418" w:header="0" w:footer="0" w:gutter="0"/>
          <w:pgNumType w:start="1"/>
          <w:cols w:space="720" w:num="1"/>
          <w:docGrid w:type="lines" w:linePitch="312" w:charSpace="0"/>
        </w:sectPr>
      </w:pP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9022715</wp:posOffset>
                </wp:positionV>
                <wp:extent cx="6121400" cy="635"/>
                <wp:effectExtent l="0" t="0" r="12700" b="18415"/>
                <wp:wrapNone/>
                <wp:docPr id="2" name="直线 3"/>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margin-left:-9.2pt;margin-top:710.45pt;height:0.05pt;width:482pt;z-index:251662336;mso-width-relative:page;mso-height-relative:page;" filled="f" stroked="t" coordsize="21600,21600" o:gfxdata="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ed2FNoAAAANAQAA&#10;DwAAAAAAAAABACAAAAAiAAAAZHJzL2Rvd25yZXYueG1sUEsBAhQAFAAAAAgAh07iQLUSRR/eAQAA&#10;sQMAAA4AAAAAAAAAAQAgAAAAKQEAAGRycy9lMm9Eb2MueG1sUEsFBgAAAAAGAAYAWQEAAHkFAAAA&#10;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2332355</wp:posOffset>
                </wp:positionV>
                <wp:extent cx="6121400" cy="635"/>
                <wp:effectExtent l="0" t="0" r="12700" b="18415"/>
                <wp:wrapNone/>
                <wp:docPr id="7" name="直线 3"/>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margin-left:-0.9pt;margin-top:183.65pt;height:0.05pt;width:482pt;z-index:251661312;mso-width-relative:page;mso-height-relative:page;" filled="f" stroked="t" coordsize="21600,21600" o:gfxdata="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k+fG2AAAAAoBAAAP&#10;AAAAAAAAAAEAIAAAACIAAABkcnMvZG93bnJldi54bWxQSwECFAAUAAAACACHTuJA49yK/d8BAACx&#10;AwAADgAAAAAAAAABACAAAAAnAQAAZHJzL2Uyb0RvYy54bWxQSwUGAAAAAAYABgBZAQAAeAUAAAAA&#10;">
                <v:fill on="f" focussize="0,0"/>
                <v:stroke color="#000000" joinstyle="round"/>
                <v:imagedata o:title=""/>
                <o:lock v:ext="edit" aspectratio="f"/>
              </v:line>
            </w:pict>
          </mc:Fallback>
        </mc:AlternateContent>
      </w:r>
    </w:p>
    <w:p>
      <w:pPr>
        <w:pStyle w:val="152"/>
        <w:rPr>
          <w:rFonts w:ascii="Times New Roman"/>
        </w:rPr>
      </w:pPr>
      <w:bookmarkStart w:id="14" w:name="_Toc19905"/>
      <w:bookmarkStart w:id="15" w:name="_Toc14408"/>
      <w:bookmarkStart w:id="16" w:name="_Toc21966"/>
      <w:bookmarkStart w:id="17" w:name="_Toc25753"/>
      <w:r>
        <w:rPr>
          <w:rFonts w:ascii="Times New Roman"/>
        </w:rPr>
        <w:t>目</w:t>
      </w:r>
      <w:bookmarkStart w:id="18" w:name="BKML"/>
      <w:r>
        <w:rPr>
          <w:rFonts w:ascii="Times New Roman"/>
        </w:rPr>
        <w:t>  次</w:t>
      </w:r>
      <w:bookmarkEnd w:id="18"/>
    </w:p>
    <w:p>
      <w:pPr>
        <w:pStyle w:val="21"/>
        <w:tabs>
          <w:tab w:val="right" w:leader="dot" w:pos="9241"/>
          <w:tab w:val="clear" w:pos="9242"/>
        </w:tabs>
        <w:spacing w:before="78" w:after="78"/>
        <w:rPr>
          <w:rFonts w:ascii="Times New Roman"/>
          <w:szCs w:val="22"/>
        </w:rPr>
      </w:pPr>
      <w:r>
        <w:rPr>
          <w:rFonts w:ascii="Times New Roman"/>
        </w:rPr>
        <w:fldChar w:fldCharType="begin" w:fldLock="1"/>
      </w:r>
      <w:r>
        <w:rPr>
          <w:rFonts w:ascii="Times New Roman"/>
        </w:rPr>
        <w:instrText xml:space="preserve"> TOC \h \z \t"前言、引言标题,1,参考文献、索引标题,1,章标题,1,参考文献,1,附录标识,1" \* MERGEFORMAT </w:instrText>
      </w:r>
      <w:r>
        <w:rPr>
          <w:rFonts w:ascii="Times New Roman"/>
        </w:rPr>
        <w:fldChar w:fldCharType="separate"/>
      </w:r>
      <w:r>
        <w:fldChar w:fldCharType="begin"/>
      </w:r>
      <w:r>
        <w:instrText xml:space="preserve"> HYPERLINK \l "_Toc27663756" </w:instrText>
      </w:r>
      <w:r>
        <w:fldChar w:fldCharType="separate"/>
      </w:r>
      <w:r>
        <w:rPr>
          <w:rStyle w:val="42"/>
          <w:rFonts w:ascii="Times New Roman"/>
        </w:rPr>
        <w:t>前</w:t>
      </w:r>
      <w:r>
        <w:rPr>
          <w:rStyle w:val="42"/>
          <w:rFonts w:ascii="Times New Roman" w:eastAsia="MS Mincho"/>
        </w:rPr>
        <w:t>  </w:t>
      </w:r>
      <w:r>
        <w:rPr>
          <w:rStyle w:val="42"/>
          <w:rFonts w:ascii="Times New Roman"/>
        </w:rPr>
        <w:t>言</w:t>
      </w:r>
      <w:r>
        <w:rPr>
          <w:rFonts w:ascii="Times New Roman"/>
        </w:rPr>
        <w:tab/>
      </w:r>
      <w:r>
        <w:rPr>
          <w:rFonts w:ascii="Times New Roman"/>
        </w:rPr>
        <w:fldChar w:fldCharType="begin" w:fldLock="1"/>
      </w:r>
      <w:r>
        <w:rPr>
          <w:rFonts w:ascii="Times New Roman"/>
        </w:rPr>
        <w:instrText xml:space="preserve"> PAGEREF _Toc27663756 \h </w:instrText>
      </w:r>
      <w:r>
        <w:rPr>
          <w:rFonts w:ascii="Times New Roman"/>
        </w:rPr>
        <w:fldChar w:fldCharType="separate"/>
      </w:r>
      <w:r>
        <w:rPr>
          <w:rFonts w:ascii="Times New Roman"/>
        </w:rPr>
        <w:t>II</w:t>
      </w:r>
      <w:r>
        <w:rPr>
          <w:rFonts w:ascii="Times New Roman"/>
        </w:rPr>
        <w:fldChar w:fldCharType="end"/>
      </w:r>
      <w:r>
        <w:rPr>
          <w:rFonts w:ascii="Times New Roman"/>
        </w:rPr>
        <w:fldChar w:fldCharType="end"/>
      </w:r>
    </w:p>
    <w:p>
      <w:pPr>
        <w:pStyle w:val="21"/>
        <w:tabs>
          <w:tab w:val="right" w:leader="dot" w:pos="9241"/>
          <w:tab w:val="clear" w:pos="9242"/>
        </w:tabs>
        <w:spacing w:before="78" w:after="78"/>
        <w:rPr>
          <w:rFonts w:ascii="Times New Roman"/>
          <w:szCs w:val="22"/>
        </w:rPr>
      </w:pPr>
      <w:r>
        <w:fldChar w:fldCharType="begin"/>
      </w:r>
      <w:r>
        <w:instrText xml:space="preserve"> HYPERLINK \l "_Toc27663757" </w:instrText>
      </w:r>
      <w:r>
        <w:fldChar w:fldCharType="separate"/>
      </w:r>
      <w:r>
        <w:rPr>
          <w:rStyle w:val="42"/>
          <w:rFonts w:ascii="Times New Roman"/>
        </w:rPr>
        <w:t>1　范围</w:t>
      </w:r>
      <w:r>
        <w:rPr>
          <w:rFonts w:ascii="Times New Roman"/>
        </w:rPr>
        <w:tab/>
      </w:r>
      <w:r>
        <w:rPr>
          <w:rFonts w:ascii="Times New Roman"/>
        </w:rPr>
        <w:fldChar w:fldCharType="begin" w:fldLock="1"/>
      </w:r>
      <w:r>
        <w:rPr>
          <w:rFonts w:ascii="Times New Roman"/>
        </w:rPr>
        <w:instrText xml:space="preserve"> PAGEREF _Toc27663757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1"/>
        <w:tabs>
          <w:tab w:val="right" w:leader="dot" w:pos="9241"/>
          <w:tab w:val="clear" w:pos="9242"/>
        </w:tabs>
        <w:spacing w:before="78" w:after="78"/>
        <w:rPr>
          <w:rFonts w:ascii="Times New Roman"/>
          <w:szCs w:val="22"/>
        </w:rPr>
      </w:pPr>
      <w:r>
        <w:fldChar w:fldCharType="begin"/>
      </w:r>
      <w:r>
        <w:instrText xml:space="preserve"> HYPERLINK \l "_Toc27663758" </w:instrText>
      </w:r>
      <w:r>
        <w:fldChar w:fldCharType="separate"/>
      </w:r>
      <w:r>
        <w:rPr>
          <w:rStyle w:val="42"/>
          <w:rFonts w:ascii="Times New Roman"/>
        </w:rPr>
        <w:t>2　规范性引用文件</w:t>
      </w:r>
      <w:r>
        <w:rPr>
          <w:rFonts w:ascii="Times New Roman"/>
        </w:rPr>
        <w:tab/>
      </w:r>
      <w:r>
        <w:rPr>
          <w:rFonts w:ascii="Times New Roman"/>
        </w:rPr>
        <w:fldChar w:fldCharType="begin" w:fldLock="1"/>
      </w:r>
      <w:r>
        <w:rPr>
          <w:rFonts w:ascii="Times New Roman"/>
        </w:rPr>
        <w:instrText xml:space="preserve"> PAGEREF _Toc27663758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1"/>
        <w:tabs>
          <w:tab w:val="right" w:leader="dot" w:pos="9241"/>
          <w:tab w:val="clear" w:pos="9242"/>
        </w:tabs>
        <w:spacing w:before="78" w:after="78"/>
        <w:rPr>
          <w:rFonts w:ascii="Times New Roman"/>
          <w:szCs w:val="22"/>
        </w:rPr>
      </w:pPr>
      <w:r>
        <w:fldChar w:fldCharType="begin"/>
      </w:r>
      <w:r>
        <w:instrText xml:space="preserve"> HYPERLINK \l "_Toc27663759" </w:instrText>
      </w:r>
      <w:r>
        <w:fldChar w:fldCharType="separate"/>
      </w:r>
      <w:r>
        <w:rPr>
          <w:rStyle w:val="42"/>
          <w:rFonts w:ascii="Times New Roman"/>
        </w:rPr>
        <w:t>3　术语和定义</w:t>
      </w:r>
      <w:r>
        <w:rPr>
          <w:rFonts w:ascii="Times New Roman"/>
        </w:rPr>
        <w:tab/>
      </w:r>
      <w:r>
        <w:rPr>
          <w:rFonts w:ascii="Times New Roman"/>
        </w:rPr>
        <w:t>1</w:t>
      </w:r>
      <w:r>
        <w:rPr>
          <w:rFonts w:ascii="Times New Roman"/>
        </w:rPr>
        <w:fldChar w:fldCharType="end"/>
      </w:r>
    </w:p>
    <w:p>
      <w:pPr>
        <w:pStyle w:val="21"/>
        <w:tabs>
          <w:tab w:val="right" w:leader="dot" w:pos="9241"/>
          <w:tab w:val="clear" w:pos="9242"/>
        </w:tabs>
        <w:spacing w:before="78" w:after="78"/>
        <w:rPr>
          <w:rFonts w:ascii="Times New Roman"/>
        </w:rPr>
      </w:pPr>
      <w:r>
        <w:fldChar w:fldCharType="begin"/>
      </w:r>
      <w:r>
        <w:instrText xml:space="preserve"> HYPERLINK \l "_Toc27663760" </w:instrText>
      </w:r>
      <w:r>
        <w:fldChar w:fldCharType="separate"/>
      </w:r>
      <w:r>
        <w:rPr>
          <w:rStyle w:val="42"/>
          <w:rFonts w:ascii="Times New Roman"/>
        </w:rPr>
        <w:t>4　</w:t>
      </w:r>
      <w:r>
        <w:rPr>
          <w:rStyle w:val="42"/>
          <w:rFonts w:hint="eastAsia" w:ascii="Times New Roman"/>
        </w:rPr>
        <w:t>计算方法</w:t>
      </w:r>
      <w:r>
        <w:rPr>
          <w:rFonts w:ascii="Times New Roman"/>
        </w:rPr>
        <w:tab/>
      </w:r>
      <w:r>
        <w:rPr>
          <w:rFonts w:hint="eastAsia" w:ascii="Times New Roman"/>
        </w:rPr>
        <w:t>1</w:t>
      </w:r>
      <w:r>
        <w:rPr>
          <w:rFonts w:hint="eastAsia" w:ascii="Times New Roman"/>
        </w:rPr>
        <w:fldChar w:fldCharType="end"/>
      </w:r>
    </w:p>
    <w:p>
      <w:pPr>
        <w:pStyle w:val="21"/>
        <w:tabs>
          <w:tab w:val="right" w:leader="dot" w:pos="9241"/>
          <w:tab w:val="clear" w:pos="9242"/>
        </w:tabs>
        <w:spacing w:before="78" w:after="78"/>
        <w:rPr>
          <w:rFonts w:ascii="Times New Roman"/>
          <w:szCs w:val="22"/>
        </w:rPr>
      </w:pPr>
      <w:r>
        <w:fldChar w:fldCharType="begin"/>
      </w:r>
      <w:r>
        <w:instrText xml:space="preserve"> HYPERLINK \l "_Toc27663760" </w:instrText>
      </w:r>
      <w:r>
        <w:fldChar w:fldCharType="separate"/>
      </w:r>
      <w:r>
        <w:rPr>
          <w:rStyle w:val="42"/>
          <w:rFonts w:hint="eastAsia" w:ascii="Times New Roman"/>
        </w:rPr>
        <w:t>5</w:t>
      </w:r>
      <w:r>
        <w:rPr>
          <w:rStyle w:val="42"/>
          <w:rFonts w:ascii="Times New Roman"/>
        </w:rPr>
        <w:t>　</w:t>
      </w:r>
      <w:r>
        <w:rPr>
          <w:rStyle w:val="42"/>
          <w:rFonts w:hint="eastAsia" w:ascii="Times New Roman"/>
        </w:rPr>
        <w:t>取水定额</w:t>
      </w:r>
      <w:r>
        <w:rPr>
          <w:rFonts w:ascii="Times New Roman"/>
        </w:rPr>
        <w:tab/>
      </w:r>
      <w:r>
        <w:rPr>
          <w:rFonts w:hint="eastAsia" w:ascii="Times New Roman"/>
        </w:rPr>
        <w:t>2</w:t>
      </w:r>
      <w:r>
        <w:rPr>
          <w:rFonts w:hint="eastAsia" w:ascii="Times New Roman"/>
        </w:rPr>
        <w:fldChar w:fldCharType="end"/>
      </w:r>
    </w:p>
    <w:p>
      <w:pPr>
        <w:pStyle w:val="21"/>
        <w:tabs>
          <w:tab w:val="right" w:leader="dot" w:pos="9241"/>
          <w:tab w:val="clear" w:pos="9242"/>
        </w:tabs>
        <w:spacing w:before="78" w:after="78"/>
        <w:rPr>
          <w:rFonts w:ascii="Times New Roman"/>
          <w:szCs w:val="22"/>
        </w:rPr>
      </w:pPr>
      <w:r>
        <w:fldChar w:fldCharType="begin"/>
      </w:r>
      <w:r>
        <w:instrText xml:space="preserve"> HYPERLINK \l "_Toc27663760" </w:instrText>
      </w:r>
      <w:r>
        <w:fldChar w:fldCharType="separate"/>
      </w:r>
      <w:r>
        <w:rPr>
          <w:rStyle w:val="42"/>
          <w:rFonts w:hint="eastAsia" w:ascii="Times New Roman"/>
        </w:rPr>
        <w:t>6</w:t>
      </w:r>
      <w:r>
        <w:rPr>
          <w:rStyle w:val="42"/>
          <w:rFonts w:ascii="Times New Roman"/>
        </w:rPr>
        <w:t>　</w:t>
      </w:r>
      <w:r>
        <w:rPr>
          <w:rStyle w:val="42"/>
          <w:rFonts w:hint="eastAsia" w:ascii="Times New Roman"/>
        </w:rPr>
        <w:t>定额</w:t>
      </w:r>
      <w:r>
        <w:rPr>
          <w:rStyle w:val="42"/>
          <w:rFonts w:hint="eastAsia" w:ascii="Times New Roman"/>
          <w:lang w:val="en-US"/>
        </w:rPr>
        <w:t>管理要求</w:t>
      </w:r>
      <w:r>
        <w:rPr>
          <w:rFonts w:ascii="Times New Roman"/>
        </w:rPr>
        <w:tab/>
      </w:r>
      <w:r>
        <w:rPr>
          <w:rFonts w:hint="eastAsia" w:ascii="Times New Roman"/>
        </w:rPr>
        <w:t>2</w:t>
      </w:r>
      <w:r>
        <w:rPr>
          <w:rFonts w:hint="eastAsia" w:ascii="Times New Roman"/>
        </w:rPr>
        <w:fldChar w:fldCharType="end"/>
      </w:r>
    </w:p>
    <w:p>
      <w:pPr>
        <w:pStyle w:val="21"/>
        <w:tabs>
          <w:tab w:val="right" w:leader="dot" w:pos="9241"/>
          <w:tab w:val="clear" w:pos="9242"/>
        </w:tabs>
        <w:spacing w:before="78" w:after="78"/>
        <w:rPr>
          <w:rFonts w:ascii="Times New Roman"/>
          <w:highlight w:val="yellow"/>
        </w:rPr>
      </w:pPr>
      <w:r>
        <w:rPr>
          <w:rFonts w:ascii="Times New Roman"/>
        </w:rPr>
        <w:fldChar w:fldCharType="end"/>
      </w:r>
    </w:p>
    <w:p>
      <w:pPr>
        <w:pStyle w:val="142"/>
        <w:rPr>
          <w:rFonts w:ascii="Times New Roman"/>
        </w:rPr>
      </w:pPr>
      <w:bookmarkStart w:id="19" w:name="_Toc16391"/>
      <w:r>
        <w:rPr>
          <w:rFonts w:ascii="Times New Roman"/>
        </w:rPr>
        <w:t>前</w:t>
      </w:r>
      <w:bookmarkStart w:id="20" w:name="BKQY"/>
      <w:r>
        <w:rPr>
          <w:rFonts w:ascii="Times New Roman"/>
        </w:rPr>
        <w:t>  言</w:t>
      </w:r>
      <w:bookmarkEnd w:id="14"/>
      <w:bookmarkEnd w:id="15"/>
      <w:bookmarkEnd w:id="16"/>
      <w:bookmarkEnd w:id="17"/>
      <w:bookmarkEnd w:id="19"/>
      <w:bookmarkEnd w:id="20"/>
    </w:p>
    <w:p>
      <w:pPr>
        <w:ind w:firstLine="420" w:firstLineChars="200"/>
        <w:rPr>
          <w:kern w:val="0"/>
          <w:szCs w:val="20"/>
        </w:rPr>
      </w:pPr>
      <w:r>
        <w:rPr>
          <w:rFonts w:hint="eastAsia"/>
          <w:kern w:val="0"/>
          <w:szCs w:val="20"/>
        </w:rPr>
        <w:t>本文件按照GB/T 1.1-2020《标准化工作导则 第1部分：标准化文件的结构和起草规则》的规定起草。</w:t>
      </w:r>
    </w:p>
    <w:p>
      <w:pPr>
        <w:ind w:firstLine="420" w:firstLineChars="200"/>
        <w:rPr>
          <w:kern w:val="0"/>
          <w:szCs w:val="20"/>
        </w:rPr>
      </w:pPr>
      <w:r>
        <w:rPr>
          <w:rFonts w:hint="eastAsia"/>
          <w:kern w:val="0"/>
          <w:szCs w:val="20"/>
        </w:rPr>
        <w:t>请注意本文件的某些内容可能涉及专利。本文件的发布机构不承担识别专利的责任。</w:t>
      </w:r>
    </w:p>
    <w:p>
      <w:pPr>
        <w:ind w:firstLine="420" w:firstLineChars="200"/>
        <w:rPr>
          <w:kern w:val="0"/>
          <w:szCs w:val="20"/>
        </w:rPr>
      </w:pPr>
      <w:r>
        <w:rPr>
          <w:rFonts w:hint="eastAsia"/>
          <w:kern w:val="0"/>
          <w:szCs w:val="20"/>
        </w:rPr>
        <w:t>本文件由工业和信息化部钢铁行业节水标准化工作组提出并归口。</w:t>
      </w:r>
    </w:p>
    <w:p>
      <w:pPr>
        <w:ind w:firstLine="420" w:firstLineChars="200"/>
        <w:rPr>
          <w:kern w:val="0"/>
          <w:szCs w:val="20"/>
        </w:rPr>
      </w:pPr>
      <w:r>
        <w:rPr>
          <w:rFonts w:hint="eastAsia"/>
          <w:kern w:val="0"/>
          <w:szCs w:val="20"/>
        </w:rPr>
        <w:t>本文件起草单位：鄂尔多斯市西金矿冶有限责任公司、山西交城义望铁合金有限责任公司、明拓集团铬业科技有限公司、重庆大朗冶金新材料有限公司、内蒙古普源铁合金有限责任公司、中国铁合金工业协会、冶金工业规划研究院、…………。</w:t>
      </w:r>
    </w:p>
    <w:p>
      <w:pPr>
        <w:ind w:firstLine="420" w:firstLineChars="200"/>
        <w:rPr>
          <w:kern w:val="0"/>
          <w:szCs w:val="20"/>
        </w:rPr>
      </w:pPr>
      <w:r>
        <w:rPr>
          <w:rFonts w:hint="eastAsia"/>
          <w:kern w:val="0"/>
          <w:szCs w:val="20"/>
        </w:rPr>
        <w:t>本文件主要起草人：。</w:t>
      </w:r>
    </w:p>
    <w:p>
      <w:pPr>
        <w:ind w:firstLine="420" w:firstLineChars="200"/>
      </w:pPr>
      <w:r>
        <w:rPr>
          <w:rFonts w:hint="eastAsia"/>
          <w:kern w:val="0"/>
          <w:szCs w:val="20"/>
        </w:rPr>
        <w:t>本文件为首次发布</w:t>
      </w:r>
      <w:r>
        <w:t>。</w:t>
      </w:r>
    </w:p>
    <w:p>
      <w:pPr>
        <w:pStyle w:val="25"/>
        <w:ind w:firstLine="0" w:firstLineChars="0"/>
        <w:rPr>
          <w:rFonts w:ascii="Times New Roman"/>
        </w:rPr>
      </w:pPr>
    </w:p>
    <w:p>
      <w:pPr>
        <w:pStyle w:val="25"/>
        <w:ind w:firstLine="0" w:firstLineChars="0"/>
        <w:rPr>
          <w:rFonts w:ascii="Times New Roman"/>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152"/>
        <w:rPr>
          <w:rFonts w:ascii="Times New Roman"/>
        </w:rPr>
      </w:pPr>
      <w:r>
        <w:rPr>
          <w:rFonts w:hint="eastAsia" w:ascii="Times New Roman"/>
        </w:rPr>
        <w:t>取水定额 铁合金</w:t>
      </w:r>
    </w:p>
    <w:p>
      <w:pPr>
        <w:pStyle w:val="32"/>
        <w:widowControl/>
        <w:numPr>
          <w:ilvl w:val="0"/>
          <w:numId w:val="18"/>
        </w:numPr>
        <w:spacing w:before="312" w:beforeLines="100" w:after="312" w:afterLines="100"/>
        <w:outlineLvl w:val="1"/>
        <w:rPr>
          <w:rFonts w:eastAsia="黑体"/>
          <w:color w:val="000000" w:themeColor="text1"/>
          <w:sz w:val="21"/>
          <w:szCs w:val="21"/>
          <w14:textFill>
            <w14:solidFill>
              <w14:schemeClr w14:val="tx1"/>
            </w14:solidFill>
          </w14:textFill>
        </w:rPr>
      </w:pPr>
      <w:r>
        <w:rPr>
          <w:rFonts w:eastAsia="黑体"/>
          <w:color w:val="000000" w:themeColor="text1"/>
          <w:kern w:val="0"/>
          <w:sz w:val="21"/>
          <w:szCs w:val="21"/>
          <w14:textFill>
            <w14:solidFill>
              <w14:schemeClr w14:val="tx1"/>
            </w14:solidFill>
          </w14:textFill>
        </w:rPr>
        <w:t>范围</w:t>
      </w:r>
    </w:p>
    <w:p>
      <w:pPr>
        <w:pStyle w:val="32"/>
        <w:widowControl/>
        <w:autoSpaceDE w:val="0"/>
        <w:autoSpaceDN w:val="0"/>
        <w:ind w:firstLine="420" w:firstLineChars="200"/>
        <w:rPr>
          <w:kern w:val="0"/>
          <w:sz w:val="21"/>
          <w:szCs w:val="21"/>
        </w:rPr>
      </w:pPr>
      <w:r>
        <w:rPr>
          <w:rFonts w:hint="eastAsia"/>
          <w:color w:val="000000" w:themeColor="text1"/>
          <w:kern w:val="0"/>
          <w:sz w:val="21"/>
          <w:szCs w:val="21"/>
          <w14:textFill>
            <w14:solidFill>
              <w14:schemeClr w14:val="tx1"/>
            </w14:solidFill>
          </w14:textFill>
        </w:rPr>
        <w:t>本文件规定了铁合金取水定额的计算方法、取水定额以及定额管理要求</w:t>
      </w:r>
      <w:r>
        <w:rPr>
          <w:rFonts w:hint="eastAsia"/>
          <w:kern w:val="0"/>
          <w:sz w:val="21"/>
          <w:szCs w:val="21"/>
        </w:rPr>
        <w:t>。</w:t>
      </w:r>
    </w:p>
    <w:p>
      <w:pPr>
        <w:pStyle w:val="32"/>
        <w:widowControl/>
        <w:autoSpaceDE w:val="0"/>
        <w:autoSpaceDN w:val="0"/>
        <w:ind w:firstLine="420" w:firstLineChars="200"/>
        <w:rPr>
          <w:kern w:val="0"/>
          <w:sz w:val="21"/>
          <w:szCs w:val="21"/>
        </w:rPr>
      </w:pPr>
      <w:r>
        <w:rPr>
          <w:rFonts w:hint="eastAsia"/>
          <w:kern w:val="0"/>
          <w:sz w:val="21"/>
          <w:szCs w:val="21"/>
        </w:rPr>
        <w:t>本文件适用于现有、新建和改扩建硅铁、电炉高碳锰铁、锰硅</w:t>
      </w:r>
      <w:r>
        <w:rPr>
          <w:rFonts w:hint="eastAsia"/>
          <w:kern w:val="0"/>
          <w:sz w:val="21"/>
          <w:szCs w:val="21"/>
          <w:lang w:val="en-US" w:eastAsia="zh-CN"/>
        </w:rPr>
        <w:t>合金</w:t>
      </w:r>
      <w:r>
        <w:rPr>
          <w:rFonts w:hint="eastAsia"/>
          <w:kern w:val="0"/>
          <w:sz w:val="21"/>
          <w:szCs w:val="21"/>
        </w:rPr>
        <w:t>、高碳铬铁生产企业的取水量的管理。</w:t>
      </w:r>
    </w:p>
    <w:p>
      <w:pPr>
        <w:pStyle w:val="32"/>
        <w:widowControl/>
        <w:numPr>
          <w:ilvl w:val="0"/>
          <w:numId w:val="18"/>
        </w:numPr>
        <w:spacing w:before="312" w:beforeLines="100" w:after="312" w:afterLines="100"/>
        <w:outlineLvl w:val="1"/>
        <w:rPr>
          <w:rFonts w:eastAsia="黑体"/>
          <w:sz w:val="21"/>
          <w:szCs w:val="21"/>
        </w:rPr>
      </w:pPr>
      <w:r>
        <w:rPr>
          <w:rFonts w:eastAsia="黑体"/>
          <w:kern w:val="0"/>
          <w:sz w:val="21"/>
          <w:szCs w:val="21"/>
        </w:rPr>
        <w:t>规范性引用文件</w:t>
      </w:r>
    </w:p>
    <w:p>
      <w:pPr>
        <w:ind w:firstLine="420" w:firstLineChars="200"/>
        <w:rPr>
          <w:szCs w:val="21"/>
        </w:rPr>
      </w:pPr>
      <w:r>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
        <w:rPr>
          <w:rFonts w:ascii="Times New Roman"/>
          <w:kern w:val="2"/>
          <w:szCs w:val="21"/>
        </w:rPr>
      </w:pPr>
      <w:r>
        <w:rPr>
          <w:rFonts w:hint="eastAsia" w:ascii="Times New Roman"/>
          <w:kern w:val="2"/>
          <w:szCs w:val="21"/>
        </w:rPr>
        <w:t>GB/T 12452  企业水平衡测试通则</w:t>
      </w:r>
    </w:p>
    <w:p>
      <w:pPr>
        <w:pStyle w:val="25"/>
        <w:rPr>
          <w:rFonts w:ascii="Times New Roman"/>
          <w:kern w:val="2"/>
          <w:szCs w:val="21"/>
        </w:rPr>
      </w:pPr>
      <w:r>
        <w:rPr>
          <w:rFonts w:hint="eastAsia" w:ascii="Times New Roman"/>
          <w:kern w:val="2"/>
          <w:szCs w:val="21"/>
        </w:rPr>
        <w:t>GB/T 18820  工业企业产品取水定额编制通则</w:t>
      </w:r>
    </w:p>
    <w:p>
      <w:pPr>
        <w:pStyle w:val="25"/>
        <w:rPr>
          <w:rFonts w:ascii="Times New Roman"/>
          <w:kern w:val="2"/>
          <w:szCs w:val="21"/>
        </w:rPr>
      </w:pPr>
      <w:r>
        <w:rPr>
          <w:rFonts w:hint="eastAsia" w:ascii="Times New Roman"/>
          <w:kern w:val="2"/>
          <w:szCs w:val="21"/>
        </w:rPr>
        <w:t>GB/T 21534  节约用水 术语</w:t>
      </w:r>
    </w:p>
    <w:p>
      <w:pPr>
        <w:pStyle w:val="25"/>
        <w:rPr>
          <w:rFonts w:ascii="Times New Roman"/>
          <w:kern w:val="2"/>
          <w:szCs w:val="21"/>
        </w:rPr>
      </w:pPr>
      <w:r>
        <w:rPr>
          <w:rFonts w:hint="eastAsia" w:ascii="Times New Roman"/>
          <w:kern w:val="2"/>
          <w:szCs w:val="21"/>
        </w:rPr>
        <w:t>GB 24789</w:t>
      </w:r>
      <w:r>
        <w:rPr>
          <w:rFonts w:ascii="Times New Roman"/>
          <w:kern w:val="2"/>
          <w:szCs w:val="21"/>
        </w:rPr>
        <w:t xml:space="preserve">  </w:t>
      </w:r>
      <w:r>
        <w:rPr>
          <w:rFonts w:hint="eastAsia" w:ascii="Times New Roman"/>
          <w:kern w:val="2"/>
          <w:szCs w:val="21"/>
        </w:rPr>
        <w:t>用水单位水计量器具配备和管理通则</w:t>
      </w:r>
    </w:p>
    <w:p>
      <w:pPr>
        <w:pStyle w:val="32"/>
        <w:widowControl/>
        <w:numPr>
          <w:ilvl w:val="0"/>
          <w:numId w:val="18"/>
        </w:numPr>
        <w:spacing w:before="312" w:beforeLines="100" w:after="312" w:afterLines="100"/>
        <w:outlineLvl w:val="1"/>
        <w:rPr>
          <w:rFonts w:eastAsia="黑体"/>
          <w:sz w:val="21"/>
          <w:szCs w:val="21"/>
        </w:rPr>
      </w:pPr>
      <w:r>
        <w:rPr>
          <w:rFonts w:eastAsia="黑体"/>
          <w:kern w:val="0"/>
          <w:sz w:val="21"/>
          <w:szCs w:val="21"/>
        </w:rPr>
        <w:t>术语和定义</w:t>
      </w:r>
    </w:p>
    <w:p>
      <w:pPr>
        <w:pStyle w:val="32"/>
        <w:widowControl/>
        <w:autoSpaceDE w:val="0"/>
        <w:autoSpaceDN w:val="0"/>
        <w:ind w:firstLine="420" w:firstLineChars="200"/>
        <w:rPr>
          <w:sz w:val="21"/>
          <w:szCs w:val="21"/>
        </w:rPr>
      </w:pPr>
      <w:r>
        <w:rPr>
          <w:kern w:val="0"/>
          <w:sz w:val="21"/>
          <w:szCs w:val="21"/>
        </w:rPr>
        <w:t>GB/T 18820</w:t>
      </w:r>
      <w:r>
        <w:rPr>
          <w:rFonts w:hint="eastAsia"/>
          <w:kern w:val="0"/>
          <w:sz w:val="21"/>
          <w:szCs w:val="21"/>
        </w:rPr>
        <w:t>和GB/T</w:t>
      </w:r>
      <w:r>
        <w:rPr>
          <w:kern w:val="0"/>
          <w:sz w:val="21"/>
          <w:szCs w:val="21"/>
        </w:rPr>
        <w:t xml:space="preserve"> </w:t>
      </w:r>
      <w:r>
        <w:rPr>
          <w:rFonts w:hint="eastAsia"/>
          <w:kern w:val="0"/>
          <w:sz w:val="21"/>
          <w:szCs w:val="21"/>
        </w:rPr>
        <w:t>21534界定的术语和定义适用于本文件</w:t>
      </w:r>
      <w:r>
        <w:rPr>
          <w:kern w:val="0"/>
          <w:sz w:val="21"/>
          <w:szCs w:val="21"/>
        </w:rPr>
        <w:t>。</w:t>
      </w:r>
    </w:p>
    <w:p>
      <w:pPr>
        <w:pStyle w:val="32"/>
        <w:widowControl/>
        <w:numPr>
          <w:ilvl w:val="0"/>
          <w:numId w:val="18"/>
        </w:numPr>
        <w:spacing w:before="312" w:beforeLines="100" w:after="312" w:afterLines="100"/>
        <w:outlineLvl w:val="1"/>
        <w:rPr>
          <w:rFonts w:eastAsia="黑体"/>
          <w:sz w:val="21"/>
          <w:szCs w:val="21"/>
        </w:rPr>
      </w:pPr>
      <w:r>
        <w:rPr>
          <w:rFonts w:hint="eastAsia" w:eastAsia="黑体"/>
          <w:kern w:val="0"/>
          <w:sz w:val="21"/>
          <w:szCs w:val="21"/>
        </w:rPr>
        <w:t>计算方法</w:t>
      </w:r>
    </w:p>
    <w:p>
      <w:pPr>
        <w:pStyle w:val="32"/>
        <w:widowControl/>
        <w:numPr>
          <w:ilvl w:val="1"/>
          <w:numId w:val="18"/>
        </w:numPr>
        <w:autoSpaceDE w:val="0"/>
        <w:autoSpaceDN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一般规定</w:t>
      </w:r>
    </w:p>
    <w:p>
      <w:pPr>
        <w:pStyle w:val="32"/>
        <w:widowControl/>
        <w:numPr>
          <w:ilvl w:val="2"/>
          <w:numId w:val="18"/>
        </w:numPr>
        <w:autoSpaceDE w:val="0"/>
        <w:autoSpaceDN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取水量范围</w:t>
      </w:r>
    </w:p>
    <w:p>
      <w:pPr>
        <w:pStyle w:val="32"/>
        <w:widowControl/>
        <w:autoSpaceDE w:val="0"/>
        <w:autoSpaceDN w:val="0"/>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取水量范围指企业</w:t>
      </w:r>
      <w:r>
        <w:rPr>
          <w:rFonts w:hint="eastAsia"/>
          <w:color w:val="000000" w:themeColor="text1"/>
          <w:sz w:val="21"/>
          <w:szCs w:val="21"/>
          <w:lang w:val="en-US" w:eastAsia="zh-CN"/>
          <w14:textFill>
            <w14:solidFill>
              <w14:schemeClr w14:val="tx1"/>
            </w14:solidFill>
          </w14:textFill>
        </w:rPr>
        <w:t>取自任何</w:t>
      </w:r>
      <w:r>
        <w:rPr>
          <w:rFonts w:hint="eastAsia"/>
          <w:color w:val="000000" w:themeColor="text1"/>
          <w:sz w:val="21"/>
          <w:szCs w:val="21"/>
          <w14:textFill>
            <w14:solidFill>
              <w14:schemeClr w14:val="tx1"/>
            </w14:solidFill>
          </w14:textFill>
        </w:rPr>
        <w:t>常规水源</w:t>
      </w:r>
      <w:r>
        <w:rPr>
          <w:rFonts w:hint="eastAsia"/>
          <w:color w:val="000000" w:themeColor="text1"/>
          <w:sz w:val="21"/>
          <w:szCs w:val="21"/>
          <w:lang w:val="en-US" w:eastAsia="zh-CN"/>
          <w14:textFill>
            <w14:solidFill>
              <w14:schemeClr w14:val="tx1"/>
            </w14:solidFill>
          </w14:textFill>
        </w:rPr>
        <w:t>并被其第一利用</w:t>
      </w:r>
      <w:r>
        <w:rPr>
          <w:rFonts w:hint="eastAsia"/>
          <w:color w:val="000000" w:themeColor="text1"/>
          <w:sz w:val="21"/>
          <w:szCs w:val="21"/>
          <w14:textFill>
            <w14:solidFill>
              <w14:schemeClr w14:val="tx1"/>
            </w14:solidFill>
          </w14:textFill>
        </w:rPr>
        <w:t>的水量</w:t>
      </w:r>
      <w:r>
        <w:rPr>
          <w:rFonts w:hint="eastAsia"/>
          <w:color w:val="000000" w:themeColor="text1"/>
          <w:sz w:val="21"/>
          <w:szCs w:val="21"/>
          <w:lang w:val="en-US" w:eastAsia="zh-CN"/>
          <w14:textFill>
            <w14:solidFill>
              <w14:schemeClr w14:val="tx1"/>
            </w14:solidFill>
          </w14:textFill>
        </w:rPr>
        <w:t>总和</w:t>
      </w:r>
      <w:r>
        <w:rPr>
          <w:rFonts w:hint="eastAsia"/>
          <w:color w:val="000000" w:themeColor="text1"/>
          <w:sz w:val="21"/>
          <w:szCs w:val="21"/>
          <w14:textFill>
            <w14:solidFill>
              <w14:schemeClr w14:val="tx1"/>
            </w14:solidFill>
          </w14:textFill>
        </w:rPr>
        <w:t>，包括取自地表水（以净水厂供水计量）、地下水、城镇供水工程</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不含外供再生水</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，以及企业从市场购得的其他水或水的产品（如</w:t>
      </w:r>
      <w:r>
        <w:rPr>
          <w:rFonts w:hint="eastAsia"/>
          <w:color w:val="000000" w:themeColor="text1"/>
          <w:sz w:val="21"/>
          <w:szCs w:val="21"/>
          <w:lang w:val="en-US" w:eastAsia="zh-CN"/>
          <w14:textFill>
            <w14:solidFill>
              <w14:schemeClr w14:val="tx1"/>
            </w14:solidFill>
          </w14:textFill>
        </w:rPr>
        <w:t>蒸汽</w:t>
      </w:r>
      <w:r>
        <w:rPr>
          <w:rFonts w:hint="eastAsia"/>
          <w:color w:val="000000" w:themeColor="text1"/>
          <w:sz w:val="21"/>
          <w:szCs w:val="21"/>
          <w14:textFill>
            <w14:solidFill>
              <w14:schemeClr w14:val="tx1"/>
            </w14:solidFill>
          </w14:textFill>
        </w:rPr>
        <w:t>、热水、地热水等）的水量。</w:t>
      </w:r>
    </w:p>
    <w:p>
      <w:pPr>
        <w:pStyle w:val="32"/>
        <w:widowControl/>
        <w:numPr>
          <w:ilvl w:val="2"/>
          <w:numId w:val="18"/>
        </w:numPr>
        <w:autoSpaceDE w:val="0"/>
        <w:autoSpaceDN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取水量供给范围</w:t>
      </w:r>
    </w:p>
    <w:p>
      <w:pPr>
        <w:pStyle w:val="32"/>
        <w:widowControl/>
        <w:autoSpaceDE w:val="0"/>
        <w:autoSpaceDN w:val="0"/>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取水量供给范围，包括主要生产（</w:t>
      </w:r>
      <w:r>
        <w:rPr>
          <w:rFonts w:hint="eastAsia"/>
          <w:color w:val="000000" w:themeColor="text1"/>
          <w:sz w:val="21"/>
          <w:szCs w:val="21"/>
          <w14:textFill>
            <w14:solidFill>
              <w14:schemeClr w14:val="tx1"/>
            </w14:solidFill>
          </w14:textFill>
        </w:rPr>
        <w:t>预处理、熔炼、冷却</w:t>
      </w:r>
      <w:r>
        <w:rPr>
          <w:color w:val="000000" w:themeColor="text1"/>
          <w:sz w:val="21"/>
          <w:szCs w:val="21"/>
          <w14:textFill>
            <w14:solidFill>
              <w14:schemeClr w14:val="tx1"/>
            </w14:solidFill>
          </w14:textFill>
        </w:rPr>
        <w:t>等）和附</w:t>
      </w:r>
      <w:r>
        <w:rPr>
          <w:rFonts w:hint="eastAsia"/>
          <w:color w:val="000000" w:themeColor="text1"/>
          <w:sz w:val="21"/>
          <w:szCs w:val="21"/>
          <w14:textFill>
            <w14:solidFill>
              <w14:schemeClr w14:val="tx1"/>
            </w14:solidFill>
          </w14:textFill>
        </w:rPr>
        <w:t>、辅助生产（动力、供电、供水、化验、机修、库房、运输、场内原料场地以及安全环保设施等）和附</w:t>
      </w:r>
      <w:r>
        <w:rPr>
          <w:color w:val="000000" w:themeColor="text1"/>
          <w:sz w:val="21"/>
          <w:szCs w:val="21"/>
          <w14:textFill>
            <w14:solidFill>
              <w14:schemeClr w14:val="tx1"/>
            </w14:solidFill>
          </w14:textFill>
        </w:rPr>
        <w:t>属生产（</w:t>
      </w:r>
      <w:r>
        <w:rPr>
          <w:rFonts w:hint="eastAsia"/>
          <w:color w:val="000000" w:themeColor="text1"/>
          <w:sz w:val="21"/>
          <w:szCs w:val="21"/>
          <w14:textFill>
            <w14:solidFill>
              <w14:schemeClr w14:val="tx1"/>
            </w14:solidFill>
          </w14:textFill>
        </w:rPr>
        <w:t>办公室、职工食堂、车间浴室、保健站、绿化</w:t>
      </w:r>
      <w:r>
        <w:rPr>
          <w:color w:val="000000" w:themeColor="text1"/>
          <w:sz w:val="21"/>
          <w:szCs w:val="21"/>
          <w14:textFill>
            <w14:solidFill>
              <w14:schemeClr w14:val="tx1"/>
            </w14:solidFill>
          </w14:textFill>
        </w:rPr>
        <w:t>等）。</w:t>
      </w:r>
    </w:p>
    <w:p>
      <w:pPr>
        <w:pStyle w:val="32"/>
        <w:widowControl/>
        <w:numPr>
          <w:ilvl w:val="1"/>
          <w:numId w:val="18"/>
        </w:numPr>
        <w:autoSpaceDE w:val="0"/>
        <w:autoSpaceDN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单位产品取水量</w:t>
      </w:r>
    </w:p>
    <w:p>
      <w:pPr>
        <w:pStyle w:val="32"/>
        <w:widowControl/>
        <w:autoSpaceDE w:val="0"/>
        <w:autoSpaceDN w:val="0"/>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单位产品取水量按式（1）计算：</w:t>
      </w:r>
    </w:p>
    <w:p>
      <w:pPr>
        <w:pStyle w:val="32"/>
        <w:widowControl/>
        <w:autoSpaceDE w:val="0"/>
        <w:autoSpaceDN w:val="0"/>
        <w:jc w:val="right"/>
        <w:rPr>
          <w:rFonts w:hAnsi="Cambria Math"/>
          <w:color w:val="000000" w:themeColor="text1"/>
          <w:sz w:val="21"/>
          <w:szCs w:val="21"/>
          <w14:textFill>
            <w14:solidFill>
              <w14:schemeClr w14:val="tx1"/>
            </w14:solidFill>
          </w14:textFill>
        </w:rPr>
      </w:pPr>
      <m:oMath>
        <m:sSub>
          <m:sSubPr>
            <m:ctrlPr>
              <w:rPr>
                <w:rFonts w:ascii="Cambria Math" w:hAnsi="Cambria Math"/>
                <w:color w:val="000000" w:themeColor="text1"/>
                <w:sz w:val="21"/>
                <w:szCs w:val="21"/>
                <w14:textFill>
                  <w14:solidFill>
                    <w14:schemeClr w14:val="tx1"/>
                  </w14:solidFill>
                </w14:textFill>
              </w:rPr>
            </m:ctrlPr>
          </m:sSubPr>
          <m:e>
            <m:r>
              <m:rPr>
                <m:sty m:val="p"/>
              </m:rPr>
              <w:rPr>
                <w:rFonts w:ascii="Cambria Math" w:hAnsi="Cambria Math"/>
                <w:color w:val="000000" w:themeColor="text1"/>
                <w:sz w:val="21"/>
                <w:szCs w:val="21"/>
                <w14:textFill>
                  <w14:solidFill>
                    <w14:schemeClr w14:val="tx1"/>
                  </w14:solidFill>
                </w14:textFill>
              </w:rPr>
              <m:t>V</m:t>
            </m:r>
            <m:ctrlPr>
              <w:rPr>
                <w:rFonts w:ascii="Cambria Math" w:hAnsi="Cambria Math"/>
                <w:color w:val="000000" w:themeColor="text1"/>
                <w:sz w:val="21"/>
                <w:szCs w:val="21"/>
                <w14:textFill>
                  <w14:solidFill>
                    <w14:schemeClr w14:val="tx1"/>
                  </w14:solidFill>
                </w14:textFill>
              </w:rPr>
            </m:ctrlPr>
          </m:e>
          <m:sub>
            <m:r>
              <m:rPr>
                <m:sty m:val="p"/>
              </m:rPr>
              <w:rPr>
                <w:rFonts w:hint="eastAsia" w:ascii="Cambria Math" w:hAnsi="Cambria Math"/>
                <w:color w:val="000000" w:themeColor="text1"/>
                <w:sz w:val="21"/>
                <w:szCs w:val="21"/>
                <w14:textFill>
                  <w14:solidFill>
                    <w14:schemeClr w14:val="tx1"/>
                  </w14:solidFill>
                </w14:textFill>
              </w:rPr>
              <m:t>ui</m:t>
            </m:r>
            <m:ctrlPr>
              <w:rPr>
                <w:rFonts w:ascii="Cambria Math" w:hAnsi="Cambria Math"/>
                <w:color w:val="000000" w:themeColor="text1"/>
                <w:sz w:val="21"/>
                <w:szCs w:val="21"/>
                <w14:textFill>
                  <w14:solidFill>
                    <w14:schemeClr w14:val="tx1"/>
                  </w14:solidFill>
                </w14:textFill>
              </w:rPr>
            </m:ctrlPr>
          </m:sub>
        </m:sSub>
        <m:r>
          <m:rPr>
            <m:sty m:val="p"/>
          </m:rPr>
          <w:rPr>
            <w:rFonts w:hint="eastAsia" w:ascii="Cambria Math" w:hAnsi="Cambria Math"/>
            <w:color w:val="000000" w:themeColor="text1"/>
            <w:sz w:val="21"/>
            <w:szCs w:val="21"/>
            <w14:textFill>
              <w14:solidFill>
                <w14:schemeClr w14:val="tx1"/>
              </w14:solidFill>
            </w14:textFill>
          </w:rPr>
          <m:t>=</m:t>
        </m:r>
        <m:f>
          <m:fPr>
            <m:ctrlPr>
              <w:rPr>
                <w:rFonts w:ascii="Cambria Math" w:hAnsi="Cambria Math"/>
                <w:i/>
                <w:color w:val="000000" w:themeColor="text1"/>
                <w:sz w:val="21"/>
                <w:szCs w:val="21"/>
                <w14:textFill>
                  <w14:solidFill>
                    <w14:schemeClr w14:val="tx1"/>
                  </w14:solidFill>
                </w14:textFill>
              </w:rPr>
            </m:ctrlPr>
          </m:fPr>
          <m:num>
            <m:sSub>
              <m:sSubPr>
                <m:ctrlPr>
                  <w:rPr>
                    <w:rFonts w:ascii="Cambria Math" w:hAnsi="Cambria Math"/>
                    <w:i/>
                    <w:color w:val="000000" w:themeColor="text1"/>
                    <w:sz w:val="21"/>
                    <w:szCs w:val="21"/>
                    <w14:textFill>
                      <w14:solidFill>
                        <w14:schemeClr w14:val="tx1"/>
                      </w14:solidFill>
                    </w14:textFill>
                  </w:rPr>
                </m:ctrlPr>
              </m:sSubPr>
              <m:e>
                <m:r>
                  <m:rPr/>
                  <w:rPr>
                    <w:rFonts w:ascii="Cambria Math" w:hAnsi="Cambria Math"/>
                    <w:color w:val="000000" w:themeColor="text1"/>
                    <w:sz w:val="21"/>
                    <w:szCs w:val="21"/>
                    <w14:textFill>
                      <w14:solidFill>
                        <w14:schemeClr w14:val="tx1"/>
                      </w14:solidFill>
                    </w14:textFill>
                  </w:rPr>
                  <m:t>V</m:t>
                </m:r>
                <m:ctrlPr>
                  <w:rPr>
                    <w:rFonts w:ascii="Cambria Math" w:hAnsi="Cambria Math"/>
                    <w:i/>
                    <w:color w:val="000000" w:themeColor="text1"/>
                    <w:sz w:val="21"/>
                    <w:szCs w:val="21"/>
                    <w14:textFill>
                      <w14:solidFill>
                        <w14:schemeClr w14:val="tx1"/>
                      </w14:solidFill>
                    </w14:textFill>
                  </w:rPr>
                </m:ctrlPr>
              </m:e>
              <m:sub>
                <m:r>
                  <m:rPr/>
                  <w:rPr>
                    <w:rFonts w:ascii="Cambria Math" w:hAnsi="Cambria Math"/>
                    <w:color w:val="000000" w:themeColor="text1"/>
                    <w:sz w:val="21"/>
                    <w:szCs w:val="21"/>
                    <w14:textFill>
                      <w14:solidFill>
                        <w14:schemeClr w14:val="tx1"/>
                      </w14:solidFill>
                    </w14:textFill>
                  </w:rPr>
                  <m:t>i1</m:t>
                </m:r>
                <m:ctrlPr>
                  <w:rPr>
                    <w:rFonts w:ascii="Cambria Math" w:hAnsi="Cambria Math"/>
                    <w:i/>
                    <w:color w:val="000000" w:themeColor="text1"/>
                    <w:sz w:val="21"/>
                    <w:szCs w:val="21"/>
                    <w14:textFill>
                      <w14:solidFill>
                        <w14:schemeClr w14:val="tx1"/>
                      </w14:solidFill>
                    </w14:textFill>
                  </w:rPr>
                </m:ctrlPr>
              </m:sub>
            </m:sSub>
            <m:ctrlPr>
              <w:rPr>
                <w:rFonts w:ascii="Cambria Math" w:hAnsi="Cambria Math"/>
                <w:i/>
                <w:color w:val="000000" w:themeColor="text1"/>
                <w:sz w:val="21"/>
                <w:szCs w:val="21"/>
                <w14:textFill>
                  <w14:solidFill>
                    <w14:schemeClr w14:val="tx1"/>
                  </w14:solidFill>
                </w14:textFill>
              </w:rPr>
            </m:ctrlPr>
          </m:num>
          <m:den>
            <m:r>
              <m:rPr/>
              <w:rPr>
                <w:rFonts w:ascii="Cambria Math" w:hAnsi="Cambria Math"/>
                <w:color w:val="000000" w:themeColor="text1"/>
                <w:sz w:val="21"/>
                <w:szCs w:val="21"/>
                <w14:textFill>
                  <w14:solidFill>
                    <w14:schemeClr w14:val="tx1"/>
                  </w14:solidFill>
                </w14:textFill>
              </w:rPr>
              <m:t>Q</m:t>
            </m:r>
            <m:ctrlPr>
              <w:rPr>
                <w:rFonts w:ascii="Cambria Math" w:hAnsi="Cambria Math"/>
                <w:i/>
                <w:color w:val="000000" w:themeColor="text1"/>
                <w:sz w:val="21"/>
                <w:szCs w:val="21"/>
                <w14:textFill>
                  <w14:solidFill>
                    <w14:schemeClr w14:val="tx1"/>
                  </w14:solidFill>
                </w14:textFill>
              </w:rPr>
            </m:ctrlPr>
          </m:den>
        </m:f>
      </m:oMath>
      <w:r>
        <w:rPr>
          <w:rFonts w:hint="eastAsia" w:hAnsi="Cambria Math"/>
          <w:color w:val="000000" w:themeColor="text1"/>
          <w:sz w:val="21"/>
          <w:szCs w:val="21"/>
          <w14:textFill>
            <w14:solidFill>
              <w14:schemeClr w14:val="tx1"/>
            </w14:solidFill>
          </w14:textFill>
        </w:rPr>
        <w:t>………………………………………………（1）</w:t>
      </w:r>
    </w:p>
    <w:p>
      <w:pPr>
        <w:pStyle w:val="32"/>
        <w:widowControl/>
        <w:autoSpaceDE w:val="0"/>
        <w:autoSpaceDN w:val="0"/>
        <w:ind w:firstLine="420" w:firstLineChars="200"/>
        <w:jc w:val="left"/>
        <w:rPr>
          <w:rFonts w:hAnsi="Cambria Math"/>
          <w:color w:val="000000" w:themeColor="text1"/>
          <w:sz w:val="21"/>
          <w:szCs w:val="21"/>
          <w14:textFill>
            <w14:solidFill>
              <w14:schemeClr w14:val="tx1"/>
            </w14:solidFill>
          </w14:textFill>
        </w:rPr>
      </w:pPr>
      <w:r>
        <w:rPr>
          <w:rFonts w:hint="eastAsia" w:hAnsi="Cambria Math"/>
          <w:color w:val="000000" w:themeColor="text1"/>
          <w:sz w:val="21"/>
          <w:szCs w:val="21"/>
          <w14:textFill>
            <w14:solidFill>
              <w14:schemeClr w14:val="tx1"/>
            </w14:solidFill>
          </w14:textFill>
        </w:rPr>
        <w:t>式中：</w:t>
      </w:r>
    </w:p>
    <w:p>
      <w:pPr>
        <w:pStyle w:val="32"/>
        <w:widowControl/>
        <w:autoSpaceDE w:val="0"/>
        <w:autoSpaceDN w:val="0"/>
        <w:ind w:firstLine="420" w:firstLineChars="200"/>
        <w:jc w:val="left"/>
        <w:rPr>
          <w:color w:val="000000" w:themeColor="text1"/>
          <w:sz w:val="21"/>
          <w:szCs w:val="21"/>
          <w14:textFill>
            <w14:solidFill>
              <w14:schemeClr w14:val="tx1"/>
            </w14:solidFill>
          </w14:textFill>
        </w:rPr>
      </w:pPr>
      <m:oMath>
        <m:sSub>
          <m:sSubPr>
            <m:ctrlPr>
              <w:rPr>
                <w:rFonts w:ascii="Cambria Math" w:hAnsi="Cambria Math"/>
                <w:i/>
                <w:color w:val="000000" w:themeColor="text1"/>
                <w:sz w:val="21"/>
                <w:szCs w:val="21"/>
                <w14:textFill>
                  <w14:solidFill>
                    <w14:schemeClr w14:val="tx1"/>
                  </w14:solidFill>
                </w14:textFill>
              </w:rPr>
            </m:ctrlPr>
          </m:sSubPr>
          <m:e>
            <m:r>
              <m:rPr/>
              <w:rPr>
                <w:rFonts w:ascii="Cambria Math" w:hAnsi="Cambria Math"/>
                <w:color w:val="000000" w:themeColor="text1"/>
                <w:sz w:val="21"/>
                <w:szCs w:val="21"/>
                <w14:textFill>
                  <w14:solidFill>
                    <w14:schemeClr w14:val="tx1"/>
                  </w14:solidFill>
                </w14:textFill>
              </w:rPr>
              <m:t>V</m:t>
            </m:r>
            <m:ctrlPr>
              <w:rPr>
                <w:rFonts w:ascii="Cambria Math" w:hAnsi="Cambria Math"/>
                <w:i/>
                <w:color w:val="000000" w:themeColor="text1"/>
                <w:sz w:val="21"/>
                <w:szCs w:val="21"/>
                <w14:textFill>
                  <w14:solidFill>
                    <w14:schemeClr w14:val="tx1"/>
                  </w14:solidFill>
                </w14:textFill>
              </w:rPr>
            </m:ctrlPr>
          </m:e>
          <m:sub>
            <m:r>
              <m:rPr/>
              <w:rPr>
                <w:rFonts w:ascii="Cambria Math" w:hAnsi="Cambria Math"/>
                <w:color w:val="000000" w:themeColor="text1"/>
                <w:sz w:val="21"/>
                <w:szCs w:val="21"/>
                <w14:textFill>
                  <w14:solidFill>
                    <w14:schemeClr w14:val="tx1"/>
                  </w14:solidFill>
                </w14:textFill>
              </w:rPr>
              <m:t>ui</m:t>
            </m:r>
            <m:ctrlPr>
              <w:rPr>
                <w:rFonts w:ascii="Cambria Math" w:hAnsi="Cambria Math"/>
                <w:i/>
                <w:color w:val="000000" w:themeColor="text1"/>
                <w:sz w:val="21"/>
                <w:szCs w:val="21"/>
                <w14:textFill>
                  <w14:solidFill>
                    <w14:schemeClr w14:val="tx1"/>
                  </w14:solidFill>
                </w14:textFill>
              </w:rPr>
            </m:ctrlPr>
          </m:sub>
        </m:sSub>
      </m:oMath>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单位产品取水量，单位为立方米每吨（m</w:t>
      </w:r>
      <w:r>
        <w:rPr>
          <w:rFonts w:hint="eastAsia"/>
          <w:color w:val="000000" w:themeColor="text1"/>
          <w:sz w:val="21"/>
          <w:szCs w:val="21"/>
          <w:vertAlign w:val="superscript"/>
          <w14:textFill>
            <w14:solidFill>
              <w14:schemeClr w14:val="tx1"/>
            </w14:solidFill>
          </w14:textFill>
        </w:rPr>
        <w:t>3</w:t>
      </w:r>
      <w:r>
        <w:rPr>
          <w:rFonts w:hint="eastAsia"/>
          <w:color w:val="000000" w:themeColor="text1"/>
          <w:sz w:val="21"/>
          <w:szCs w:val="21"/>
          <w14:textFill>
            <w14:solidFill>
              <w14:schemeClr w14:val="tx1"/>
            </w14:solidFill>
          </w14:textFill>
        </w:rPr>
        <w:t>/t）；</w:t>
      </w:r>
    </w:p>
    <w:p>
      <w:pPr>
        <w:pStyle w:val="32"/>
        <w:widowControl/>
        <w:autoSpaceDE w:val="0"/>
        <w:autoSpaceDN w:val="0"/>
        <w:ind w:firstLine="420" w:firstLineChars="2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Q</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在一定的计量时间内，铁合金企业产品产量，单位为</w:t>
      </w:r>
      <w:r>
        <w:rPr>
          <w:rFonts w:hint="eastAsia"/>
          <w:color w:val="000000" w:themeColor="text1"/>
          <w:sz w:val="21"/>
          <w:szCs w:val="21"/>
          <w:lang w:val="en-US" w:eastAsia="zh-CN"/>
          <w14:textFill>
            <w14:solidFill>
              <w14:schemeClr w14:val="tx1"/>
            </w14:solidFill>
          </w14:textFill>
        </w:rPr>
        <w:t>基准</w:t>
      </w:r>
      <w:r>
        <w:rPr>
          <w:rFonts w:hint="eastAsia"/>
          <w:color w:val="000000" w:themeColor="text1"/>
          <w:sz w:val="21"/>
          <w:szCs w:val="21"/>
          <w14:textFill>
            <w14:solidFill>
              <w14:schemeClr w14:val="tx1"/>
            </w14:solidFill>
          </w14:textFill>
        </w:rPr>
        <w:t>吨（t）；</w:t>
      </w:r>
    </w:p>
    <w:p>
      <w:pPr>
        <w:pStyle w:val="32"/>
        <w:widowControl/>
        <w:autoSpaceDE w:val="0"/>
        <w:autoSpaceDN w:val="0"/>
        <w:ind w:firstLine="420" w:firstLineChars="200"/>
        <w:jc w:val="left"/>
        <w:rPr>
          <w:color w:val="000000" w:themeColor="text1"/>
          <w:sz w:val="21"/>
          <w:szCs w:val="21"/>
          <w14:textFill>
            <w14:solidFill>
              <w14:schemeClr w14:val="tx1"/>
            </w14:solidFill>
          </w14:textFill>
        </w:rPr>
      </w:pPr>
      <m:oMath>
        <m:sSub>
          <m:sSubPr>
            <m:ctrlPr>
              <w:rPr>
                <w:rFonts w:ascii="Cambria Math" w:hAnsi="Cambria Math"/>
                <w:i/>
                <w:color w:val="000000" w:themeColor="text1"/>
                <w:sz w:val="21"/>
                <w:szCs w:val="21"/>
                <w14:textFill>
                  <w14:solidFill>
                    <w14:schemeClr w14:val="tx1"/>
                  </w14:solidFill>
                </w14:textFill>
              </w:rPr>
            </m:ctrlPr>
          </m:sSubPr>
          <m:e>
            <m:r>
              <m:rPr/>
              <w:rPr>
                <w:rFonts w:ascii="Cambria Math" w:hAnsi="Cambria Math"/>
                <w:color w:val="000000" w:themeColor="text1"/>
                <w:sz w:val="21"/>
                <w:szCs w:val="21"/>
                <w14:textFill>
                  <w14:solidFill>
                    <w14:schemeClr w14:val="tx1"/>
                  </w14:solidFill>
                </w14:textFill>
              </w:rPr>
              <m:t>V</m:t>
            </m:r>
            <m:ctrlPr>
              <w:rPr>
                <w:rFonts w:ascii="Cambria Math" w:hAnsi="Cambria Math"/>
                <w:i/>
                <w:color w:val="000000" w:themeColor="text1"/>
                <w:sz w:val="21"/>
                <w:szCs w:val="21"/>
                <w14:textFill>
                  <w14:solidFill>
                    <w14:schemeClr w14:val="tx1"/>
                  </w14:solidFill>
                </w14:textFill>
              </w:rPr>
            </m:ctrlPr>
          </m:e>
          <m:sub>
            <m:r>
              <m:rPr/>
              <w:rPr>
                <w:rFonts w:ascii="Cambria Math" w:hAnsi="Cambria Math"/>
                <w:color w:val="000000" w:themeColor="text1"/>
                <w:sz w:val="21"/>
                <w:szCs w:val="21"/>
                <w14:textFill>
                  <w14:solidFill>
                    <w14:schemeClr w14:val="tx1"/>
                  </w14:solidFill>
                </w14:textFill>
              </w:rPr>
              <m:t>i1</m:t>
            </m:r>
            <m:ctrlPr>
              <w:rPr>
                <w:rFonts w:ascii="Cambria Math" w:hAnsi="Cambria Math"/>
                <w:i/>
                <w:color w:val="000000" w:themeColor="text1"/>
                <w:sz w:val="21"/>
                <w:szCs w:val="21"/>
                <w14:textFill>
                  <w14:solidFill>
                    <w14:schemeClr w14:val="tx1"/>
                  </w14:solidFill>
                </w14:textFill>
              </w:rPr>
            </m:ctrlPr>
          </m:sub>
        </m:sSub>
      </m:oMath>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在一定的计量时间内，铁合金企业生产过程中取水量总和</w:t>
      </w:r>
      <w:r>
        <w:rPr>
          <w:color w:val="000000" w:themeColor="text1"/>
          <w:sz w:val="21"/>
          <w:szCs w:val="21"/>
          <w14:textFill>
            <w14:solidFill>
              <w14:schemeClr w14:val="tx1"/>
            </w14:solidFill>
          </w14:textFill>
        </w:rPr>
        <w:t>，单位为立方米（m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w:t>
      </w:r>
    </w:p>
    <w:p>
      <w:pPr>
        <w:pStyle w:val="32"/>
        <w:widowControl/>
        <w:numPr>
          <w:ilvl w:val="0"/>
          <w:numId w:val="18"/>
        </w:numPr>
        <w:spacing w:before="312" w:beforeLines="100" w:after="312" w:afterLines="100"/>
        <w:outlineLvl w:val="1"/>
        <w:rPr>
          <w:rFonts w:eastAsia="黑体"/>
          <w:sz w:val="21"/>
          <w:szCs w:val="21"/>
        </w:rPr>
      </w:pPr>
      <w:r>
        <w:rPr>
          <w:rFonts w:hint="eastAsia" w:eastAsia="黑体"/>
          <w:sz w:val="21"/>
          <w:szCs w:val="21"/>
        </w:rPr>
        <w:t>取水定额</w:t>
      </w:r>
    </w:p>
    <w:p>
      <w:pPr>
        <w:pStyle w:val="32"/>
        <w:widowControl/>
        <w:numPr>
          <w:ilvl w:val="1"/>
          <w:numId w:val="18"/>
        </w:numPr>
        <w:autoSpaceDE w:val="0"/>
        <w:autoSpaceDN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现有企业取水定额</w:t>
      </w:r>
    </w:p>
    <w:p>
      <w:pPr>
        <w:pStyle w:val="32"/>
        <w:widowControl/>
        <w:autoSpaceDE w:val="0"/>
        <w:autoSpaceDN w:val="0"/>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现有企业取水定额指标见表1。</w:t>
      </w:r>
    </w:p>
    <w:p>
      <w:pPr>
        <w:pStyle w:val="32"/>
        <w:widowControl/>
        <w:autoSpaceDE w:val="0"/>
        <w:autoSpaceDN w:val="0"/>
        <w:jc w:val="center"/>
        <w:rPr>
          <w:rFonts w:eastAsia="黑体"/>
          <w:color w:val="000000" w:themeColor="text1"/>
          <w:sz w:val="21"/>
          <w:szCs w:val="21"/>
          <w14:textFill>
            <w14:solidFill>
              <w14:schemeClr w14:val="tx1"/>
            </w14:solidFill>
          </w14:textFill>
        </w:rPr>
      </w:pPr>
      <w:r>
        <w:rPr>
          <w:rFonts w:eastAsia="黑体"/>
          <w:color w:val="000000" w:themeColor="text1"/>
          <w:sz w:val="21"/>
          <w:szCs w:val="21"/>
          <w14:textFill>
            <w14:solidFill>
              <w14:schemeClr w14:val="tx1"/>
            </w14:solidFill>
          </w14:textFill>
        </w:rPr>
        <w:t>表1  现有</w:t>
      </w:r>
      <w:r>
        <w:rPr>
          <w:rFonts w:hint="eastAsia" w:eastAsia="黑体"/>
          <w:color w:val="000000" w:themeColor="text1"/>
          <w:sz w:val="21"/>
          <w:szCs w:val="21"/>
          <w14:textFill>
            <w14:solidFill>
              <w14:schemeClr w14:val="tx1"/>
            </w14:solidFill>
          </w14:textFill>
        </w:rPr>
        <w:t>企业</w:t>
      </w:r>
      <w:r>
        <w:rPr>
          <w:rFonts w:eastAsia="黑体"/>
          <w:color w:val="000000" w:themeColor="text1"/>
          <w:sz w:val="21"/>
          <w:szCs w:val="21"/>
          <w14:textFill>
            <w14:solidFill>
              <w14:schemeClr w14:val="tx1"/>
            </w14:solidFill>
          </w14:textFill>
        </w:rPr>
        <w:t>取水定额指标</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32"/>
              <w:widowControl/>
              <w:autoSpaceDE w:val="0"/>
              <w:autoSpaceDN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名称</w:t>
            </w:r>
          </w:p>
        </w:tc>
        <w:tc>
          <w:tcPr>
            <w:tcW w:w="4785" w:type="dxa"/>
          </w:tcPr>
          <w:p>
            <w:pPr>
              <w:pStyle w:val="32"/>
              <w:widowControl/>
              <w:autoSpaceDE w:val="0"/>
              <w:autoSpaceDN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吨产品取水量（m</w:t>
            </w:r>
            <w:r>
              <w:rPr>
                <w:rFonts w:hint="eastAsia" w:ascii="宋体"/>
                <w:color w:val="000000" w:themeColor="text1"/>
                <w:sz w:val="21"/>
                <w:szCs w:val="21"/>
                <w:vertAlign w:val="superscript"/>
                <w14:textFill>
                  <w14:solidFill>
                    <w14:schemeClr w14:val="tx1"/>
                  </w14:solidFill>
                </w14:textFill>
              </w:rPr>
              <w:t>3</w:t>
            </w:r>
            <w:r>
              <w:rPr>
                <w:rFonts w:hint="eastAsia" w:ascii="宋体"/>
                <w:color w:val="000000" w:themeColor="text1"/>
                <w:sz w:val="2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32"/>
              <w:widowControl/>
              <w:autoSpaceDE w:val="0"/>
              <w:autoSpaceDN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硅铁</w:t>
            </w:r>
          </w:p>
        </w:tc>
        <w:tc>
          <w:tcPr>
            <w:tcW w:w="4785" w:type="dxa"/>
          </w:tcPr>
          <w:p>
            <w:pPr>
              <w:jc w:val="center"/>
              <w:rPr>
                <w:rFonts w:hint="eastAsia"/>
                <w:color w:val="000000"/>
                <w:lang w:eastAsia="zh-CN"/>
              </w:rPr>
            </w:pPr>
            <w:r>
              <w:rPr>
                <w:color w:val="000000"/>
              </w:rPr>
              <w:t>≤</w:t>
            </w:r>
            <w:r>
              <w:rPr>
                <w:rFonts w:hint="eastAsia"/>
                <w:color w:val="000000"/>
              </w:rPr>
              <w:t>3.</w:t>
            </w:r>
            <w:r>
              <w:rPr>
                <w:rFonts w:hint="eastAsia"/>
                <w:color w:val="00000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32"/>
              <w:widowControl/>
              <w:autoSpaceDE w:val="0"/>
              <w:autoSpaceDN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电炉高碳锰铁</w:t>
            </w:r>
          </w:p>
        </w:tc>
        <w:tc>
          <w:tcPr>
            <w:tcW w:w="4785" w:type="dxa"/>
          </w:tcPr>
          <w:p>
            <w:pPr>
              <w:jc w:val="center"/>
              <w:rPr>
                <w:color w:val="000000"/>
              </w:rPr>
            </w:pPr>
            <w:r>
              <w:rPr>
                <w:color w:val="000000"/>
              </w:rPr>
              <w:t>≤</w:t>
            </w:r>
            <w:r>
              <w:rPr>
                <w:rFonts w:hint="eastAsia"/>
                <w:color w:val="00000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32"/>
              <w:widowControl/>
              <w:autoSpaceDE w:val="0"/>
              <w:autoSpaceDN w:val="0"/>
              <w:jc w:val="center"/>
              <w:rPr>
                <w:rFonts w:hint="eastAsia" w:ascii="宋体" w:eastAsia="宋体"/>
                <w:color w:val="000000" w:themeColor="text1"/>
                <w:sz w:val="21"/>
                <w:szCs w:val="21"/>
                <w:lang w:val="en-US" w:eastAsia="zh-CN"/>
                <w14:textFill>
                  <w14:solidFill>
                    <w14:schemeClr w14:val="tx1"/>
                  </w14:solidFill>
                </w14:textFill>
              </w:rPr>
            </w:pPr>
            <w:r>
              <w:rPr>
                <w:rFonts w:hint="eastAsia" w:ascii="宋体"/>
                <w:color w:val="000000" w:themeColor="text1"/>
                <w:sz w:val="21"/>
                <w:szCs w:val="21"/>
                <w14:textFill>
                  <w14:solidFill>
                    <w14:schemeClr w14:val="tx1"/>
                  </w14:solidFill>
                </w14:textFill>
              </w:rPr>
              <w:t>锰硅</w:t>
            </w:r>
            <w:r>
              <w:rPr>
                <w:rFonts w:hint="eastAsia" w:ascii="宋体"/>
                <w:color w:val="000000" w:themeColor="text1"/>
                <w:sz w:val="21"/>
                <w:szCs w:val="21"/>
                <w:lang w:val="en-US" w:eastAsia="zh-CN"/>
                <w14:textFill>
                  <w14:solidFill>
                    <w14:schemeClr w14:val="tx1"/>
                  </w14:solidFill>
                </w14:textFill>
              </w:rPr>
              <w:t>合金</w:t>
            </w:r>
          </w:p>
        </w:tc>
        <w:tc>
          <w:tcPr>
            <w:tcW w:w="4785" w:type="dxa"/>
          </w:tcPr>
          <w:p>
            <w:pPr>
              <w:jc w:val="center"/>
              <w:rPr>
                <w:rFonts w:hint="eastAsia"/>
                <w:color w:val="000000"/>
                <w:lang w:eastAsia="zh-CN"/>
              </w:rPr>
            </w:pPr>
            <w:r>
              <w:rPr>
                <w:color w:val="000000"/>
              </w:rPr>
              <w:t>≤</w:t>
            </w:r>
            <w:r>
              <w:rPr>
                <w:rFonts w:hint="eastAsia"/>
                <w:color w:val="000000"/>
              </w:rPr>
              <w:t>2.</w:t>
            </w:r>
            <w:r>
              <w:rPr>
                <w:rFonts w:hint="eastAsia"/>
                <w:color w:val="00000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32"/>
              <w:widowControl/>
              <w:autoSpaceDE w:val="0"/>
              <w:autoSpaceDN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高碳铬铁</w:t>
            </w:r>
          </w:p>
        </w:tc>
        <w:tc>
          <w:tcPr>
            <w:tcW w:w="4785" w:type="dxa"/>
          </w:tcPr>
          <w:p>
            <w:pPr>
              <w:jc w:val="center"/>
              <w:rPr>
                <w:rFonts w:hint="eastAsia"/>
                <w:color w:val="000000"/>
                <w:lang w:val="en-US" w:eastAsia="zh-CN"/>
              </w:rPr>
            </w:pPr>
            <w:r>
              <w:rPr>
                <w:color w:val="000000"/>
              </w:rPr>
              <w:t>≤</w:t>
            </w:r>
            <w:r>
              <w:rPr>
                <w:rFonts w:hint="eastAsia"/>
                <w:color w:val="000000"/>
              </w:rPr>
              <w:t>2.</w:t>
            </w:r>
            <w:r>
              <w:rPr>
                <w:rFonts w:hint="eastAsia"/>
                <w:color w:val="000000"/>
                <w:lang w:val="en-US" w:eastAsia="zh-CN"/>
              </w:rPr>
              <w:t>8</w:t>
            </w:r>
          </w:p>
        </w:tc>
      </w:tr>
    </w:tbl>
    <w:p>
      <w:pPr>
        <w:pStyle w:val="32"/>
        <w:widowControl/>
        <w:numPr>
          <w:ilvl w:val="1"/>
          <w:numId w:val="18"/>
        </w:numPr>
        <w:autoSpaceDE w:val="0"/>
        <w:autoSpaceDN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新建和改扩建企业取水定额</w:t>
      </w:r>
    </w:p>
    <w:p>
      <w:pPr>
        <w:pStyle w:val="32"/>
        <w:widowControl/>
        <w:autoSpaceDE w:val="0"/>
        <w:autoSpaceDN w:val="0"/>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新建和改扩建企业取水定额指标见表2。</w:t>
      </w:r>
    </w:p>
    <w:p>
      <w:pPr>
        <w:pStyle w:val="32"/>
        <w:widowControl/>
        <w:autoSpaceDE w:val="0"/>
        <w:autoSpaceDN w:val="0"/>
        <w:jc w:val="center"/>
        <w:rPr>
          <w:rFonts w:eastAsia="黑体"/>
          <w:color w:val="000000" w:themeColor="text1"/>
          <w:sz w:val="21"/>
          <w:szCs w:val="21"/>
          <w14:textFill>
            <w14:solidFill>
              <w14:schemeClr w14:val="tx1"/>
            </w14:solidFill>
          </w14:textFill>
        </w:rPr>
      </w:pPr>
      <w:r>
        <w:rPr>
          <w:rFonts w:eastAsia="黑体"/>
          <w:color w:val="000000" w:themeColor="text1"/>
          <w:sz w:val="21"/>
          <w:szCs w:val="21"/>
          <w14:textFill>
            <w14:solidFill>
              <w14:schemeClr w14:val="tx1"/>
            </w14:solidFill>
          </w14:textFill>
        </w:rPr>
        <w:t>表</w:t>
      </w:r>
      <w:r>
        <w:rPr>
          <w:rFonts w:hint="eastAsia" w:eastAsia="黑体"/>
          <w:color w:val="000000" w:themeColor="text1"/>
          <w:sz w:val="21"/>
          <w:szCs w:val="21"/>
          <w14:textFill>
            <w14:solidFill>
              <w14:schemeClr w14:val="tx1"/>
            </w14:solidFill>
          </w14:textFill>
        </w:rPr>
        <w:t>2</w:t>
      </w:r>
      <w:r>
        <w:rPr>
          <w:rFonts w:eastAsia="黑体"/>
          <w:color w:val="000000" w:themeColor="text1"/>
          <w:sz w:val="21"/>
          <w:szCs w:val="21"/>
          <w14:textFill>
            <w14:solidFill>
              <w14:schemeClr w14:val="tx1"/>
            </w14:solidFill>
          </w14:textFill>
        </w:rPr>
        <w:t xml:space="preserve">  新建和改扩建</w:t>
      </w:r>
      <w:r>
        <w:rPr>
          <w:rFonts w:hint="eastAsia" w:eastAsia="黑体"/>
          <w:color w:val="000000" w:themeColor="text1"/>
          <w:sz w:val="21"/>
          <w:szCs w:val="21"/>
          <w14:textFill>
            <w14:solidFill>
              <w14:schemeClr w14:val="tx1"/>
            </w14:solidFill>
          </w14:textFill>
        </w:rPr>
        <w:t>企业</w:t>
      </w:r>
      <w:r>
        <w:rPr>
          <w:rFonts w:eastAsia="黑体"/>
          <w:color w:val="000000" w:themeColor="text1"/>
          <w:sz w:val="21"/>
          <w:szCs w:val="21"/>
          <w14:textFill>
            <w14:solidFill>
              <w14:schemeClr w14:val="tx1"/>
            </w14:solidFill>
          </w14:textFill>
        </w:rPr>
        <w:t>取水定额指标</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32"/>
              <w:widowControl/>
              <w:autoSpaceDE w:val="0"/>
              <w:autoSpaceDN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名称</w:t>
            </w:r>
          </w:p>
        </w:tc>
        <w:tc>
          <w:tcPr>
            <w:tcW w:w="4785" w:type="dxa"/>
          </w:tcPr>
          <w:p>
            <w:pPr>
              <w:pStyle w:val="32"/>
              <w:widowControl/>
              <w:autoSpaceDE w:val="0"/>
              <w:autoSpaceDN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吨产品取水量（m</w:t>
            </w:r>
            <w:r>
              <w:rPr>
                <w:rFonts w:hint="eastAsia" w:ascii="宋体"/>
                <w:color w:val="000000" w:themeColor="text1"/>
                <w:sz w:val="21"/>
                <w:szCs w:val="21"/>
                <w:vertAlign w:val="superscript"/>
                <w14:textFill>
                  <w14:solidFill>
                    <w14:schemeClr w14:val="tx1"/>
                  </w14:solidFill>
                </w14:textFill>
              </w:rPr>
              <w:t>3</w:t>
            </w:r>
            <w:r>
              <w:rPr>
                <w:rFonts w:hint="eastAsia" w:ascii="宋体"/>
                <w:color w:val="000000" w:themeColor="text1"/>
                <w:sz w:val="2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vAlign w:val="top"/>
          </w:tcPr>
          <w:p>
            <w:pPr>
              <w:pStyle w:val="32"/>
              <w:widowControl/>
              <w:autoSpaceDE w:val="0"/>
              <w:autoSpaceDN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硅铁</w:t>
            </w:r>
          </w:p>
        </w:tc>
        <w:tc>
          <w:tcPr>
            <w:tcW w:w="4785" w:type="dxa"/>
            <w:vAlign w:val="center"/>
          </w:tcPr>
          <w:p>
            <w:pPr>
              <w:jc w:val="center"/>
              <w:rPr>
                <w:rFonts w:hint="default" w:ascii="Times New Roman" w:hAnsi="Times New Roman" w:eastAsia="宋体" w:cs="Times New Roman"/>
                <w:color w:val="000000"/>
                <w:kern w:val="2"/>
                <w:sz w:val="21"/>
                <w:szCs w:val="24"/>
                <w:lang w:val="en-US" w:eastAsia="zh-CN" w:bidi="ar-SA"/>
              </w:rPr>
            </w:pPr>
            <w:r>
              <w:rPr>
                <w:color w:val="000000"/>
              </w:rPr>
              <w:t>≤</w:t>
            </w:r>
            <w:r>
              <w:rPr>
                <w:rFonts w:hint="eastAsia"/>
                <w:color w:val="000000" w:themeColor="text1"/>
                <w:szCs w:val="21"/>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vAlign w:val="top"/>
          </w:tcPr>
          <w:p>
            <w:pPr>
              <w:pStyle w:val="32"/>
              <w:widowControl/>
              <w:autoSpaceDE w:val="0"/>
              <w:autoSpaceDN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电炉高碳锰铁</w:t>
            </w:r>
          </w:p>
        </w:tc>
        <w:tc>
          <w:tcPr>
            <w:tcW w:w="4785" w:type="dxa"/>
            <w:vAlign w:val="center"/>
          </w:tcPr>
          <w:p>
            <w:pPr>
              <w:jc w:val="center"/>
              <w:rPr>
                <w:rFonts w:hint="eastAsia" w:ascii="Times New Roman" w:hAnsi="Times New Roman" w:eastAsia="黑体" w:cs="Times New Roman"/>
                <w:color w:val="000000"/>
                <w:kern w:val="2"/>
                <w:sz w:val="21"/>
                <w:szCs w:val="24"/>
                <w:lang w:val="en-US" w:eastAsia="zh-CN" w:bidi="ar-SA"/>
              </w:rPr>
            </w:pPr>
            <w:r>
              <w:rPr>
                <w:color w:val="000000"/>
              </w:rPr>
              <w:t>≤</w:t>
            </w:r>
            <w:r>
              <w:rPr>
                <w:rFonts w:hint="eastAsia" w:eastAsia="黑体"/>
                <w:color w:val="000000" w:themeColor="text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vAlign w:val="top"/>
          </w:tcPr>
          <w:p>
            <w:pPr>
              <w:pStyle w:val="32"/>
              <w:widowControl/>
              <w:autoSpaceDE w:val="0"/>
              <w:autoSpaceDN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锰硅</w:t>
            </w:r>
            <w:r>
              <w:rPr>
                <w:rFonts w:hint="eastAsia" w:ascii="宋体"/>
                <w:color w:val="000000" w:themeColor="text1"/>
                <w:sz w:val="21"/>
                <w:szCs w:val="21"/>
                <w:lang w:val="en-US" w:eastAsia="zh-CN"/>
                <w14:textFill>
                  <w14:solidFill>
                    <w14:schemeClr w14:val="tx1"/>
                  </w14:solidFill>
                </w14:textFill>
              </w:rPr>
              <w:t>合金</w:t>
            </w:r>
          </w:p>
        </w:tc>
        <w:tc>
          <w:tcPr>
            <w:tcW w:w="4785" w:type="dxa"/>
            <w:vAlign w:val="top"/>
          </w:tcPr>
          <w:p>
            <w:pPr>
              <w:pStyle w:val="32"/>
              <w:widowControl/>
              <w:autoSpaceDE w:val="0"/>
              <w:autoSpaceDN w:val="0"/>
              <w:jc w:val="center"/>
              <w:rPr>
                <w:rFonts w:hint="eastAsia" w:ascii="Times New Roman" w:hAnsi="Times New Roman" w:eastAsia="宋体" w:cs="Times New Roman"/>
                <w:color w:val="000000"/>
                <w:kern w:val="2"/>
                <w:sz w:val="24"/>
                <w:szCs w:val="24"/>
                <w:lang w:val="en-US" w:eastAsia="zh-CN" w:bidi="ar-SA"/>
              </w:rPr>
            </w:pPr>
            <w:r>
              <w:rPr>
                <w:color w:val="000000"/>
              </w:rPr>
              <w:t>≤</w:t>
            </w:r>
            <w:r>
              <w:rPr>
                <w:rFonts w:hint="eastAsia"/>
                <w:color w:val="000000" w:themeColor="text1"/>
                <w:sz w:val="21"/>
                <w:szCs w:val="21"/>
                <w14:textFill>
                  <w14:solidFill>
                    <w14:schemeClr w14:val="tx1"/>
                  </w14:solidFill>
                </w14:textFill>
              </w:rPr>
              <w:t>2.</w:t>
            </w:r>
            <w:r>
              <w:rPr>
                <w:rFonts w:hint="eastAsia" w:eastAsia="黑体"/>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vAlign w:val="top"/>
          </w:tcPr>
          <w:p>
            <w:pPr>
              <w:pStyle w:val="32"/>
              <w:widowControl/>
              <w:autoSpaceDE w:val="0"/>
              <w:autoSpaceDN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高碳铬铁</w:t>
            </w:r>
          </w:p>
        </w:tc>
        <w:tc>
          <w:tcPr>
            <w:tcW w:w="4785" w:type="dxa"/>
            <w:vAlign w:val="top"/>
          </w:tcPr>
          <w:p>
            <w:pPr>
              <w:pStyle w:val="32"/>
              <w:widowControl/>
              <w:autoSpaceDE w:val="0"/>
              <w:autoSpaceDN w:val="0"/>
              <w:jc w:val="center"/>
              <w:rPr>
                <w:rFonts w:hint="eastAsia" w:ascii="Times New Roman" w:hAnsi="Times New Roman" w:eastAsia="宋体" w:cs="Times New Roman"/>
                <w:color w:val="000000"/>
                <w:kern w:val="2"/>
                <w:sz w:val="24"/>
                <w:szCs w:val="24"/>
                <w:lang w:val="en-US" w:eastAsia="zh-CN" w:bidi="ar-SA"/>
              </w:rPr>
            </w:pPr>
            <w:r>
              <w:rPr>
                <w:color w:val="000000"/>
              </w:rPr>
              <w:t>≤</w:t>
            </w: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4</w:t>
            </w:r>
          </w:p>
        </w:tc>
      </w:tr>
    </w:tbl>
    <w:p>
      <w:pPr>
        <w:pStyle w:val="32"/>
        <w:widowControl/>
        <w:numPr>
          <w:ilvl w:val="0"/>
          <w:numId w:val="18"/>
        </w:numPr>
        <w:spacing w:before="312" w:beforeLines="100" w:after="312" w:afterLines="100"/>
        <w:outlineLvl w:val="1"/>
        <w:rPr>
          <w:rFonts w:eastAsia="黑体"/>
          <w:sz w:val="21"/>
          <w:szCs w:val="21"/>
        </w:rPr>
      </w:pPr>
      <w:bookmarkStart w:id="21" w:name="_Hlk37580841"/>
      <w:r>
        <w:rPr>
          <w:rFonts w:hint="eastAsia" w:eastAsia="黑体"/>
          <w:sz w:val="21"/>
          <w:szCs w:val="21"/>
        </w:rPr>
        <w:t>定额</w:t>
      </w:r>
      <w:bookmarkEnd w:id="21"/>
      <w:r>
        <w:rPr>
          <w:rFonts w:hint="eastAsia" w:eastAsia="黑体"/>
          <w:sz w:val="21"/>
          <w:szCs w:val="21"/>
          <w:lang w:val="en-US" w:eastAsia="zh-CN"/>
        </w:rPr>
        <w:t>管理要求</w:t>
      </w:r>
    </w:p>
    <w:p>
      <w:pPr>
        <w:pStyle w:val="32"/>
        <w:widowControl/>
        <w:numPr>
          <w:ilvl w:val="1"/>
          <w:numId w:val="18"/>
        </w:numPr>
        <w:autoSpaceDE w:val="0"/>
        <w:autoSpaceDN w:val="0"/>
        <w:rPr>
          <w:color w:val="000000" w:themeColor="text1"/>
          <w:sz w:val="21"/>
          <w:szCs w:val="21"/>
          <w14:textFill>
            <w14:solidFill>
              <w14:schemeClr w14:val="tx1"/>
            </w14:solidFill>
          </w14:textFill>
        </w:rPr>
      </w:pPr>
      <w:bookmarkStart w:id="22" w:name="_Hlk37580859"/>
      <w:r>
        <w:rPr>
          <w:rFonts w:hint="eastAsia"/>
          <w:color w:val="000000" w:themeColor="text1"/>
          <w:sz w:val="21"/>
          <w:szCs w:val="21"/>
          <w14:textFill>
            <w14:solidFill>
              <w14:schemeClr w14:val="tx1"/>
            </w14:solidFill>
          </w14:textFill>
        </w:rPr>
        <w:t>企业用水计量器具配备和管理应符合GB 24789的要求。</w:t>
      </w:r>
    </w:p>
    <w:p>
      <w:pPr>
        <w:pStyle w:val="32"/>
        <w:widowControl/>
        <w:numPr>
          <w:ilvl w:val="1"/>
          <w:numId w:val="18"/>
        </w:numPr>
        <w:autoSpaceDE w:val="0"/>
        <w:autoSpaceDN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取水定额管理中，水平衡测试应符合GB/T 12452要求。</w:t>
      </w:r>
      <w:bookmarkEnd w:id="22"/>
    </w:p>
    <w:p>
      <w:pPr>
        <w:pStyle w:val="32"/>
        <w:widowControl/>
        <w:autoSpaceDE w:val="0"/>
        <w:autoSpaceDN w:val="0"/>
        <w:rPr>
          <w:color w:val="000000" w:themeColor="text1"/>
          <w:sz w:val="21"/>
          <w:szCs w:val="21"/>
          <w14:textFill>
            <w14:solidFill>
              <w14:schemeClr w14:val="tx1"/>
            </w14:solidFill>
          </w14:textFill>
        </w:rPr>
      </w:pPr>
    </w:p>
    <w:p>
      <w:pPr>
        <w:pStyle w:val="69"/>
        <w:framePr w:wrap="around" w:hAnchor="page" w:x="4050" w:y="929"/>
      </w:pPr>
      <w:r>
        <w:t>_________________________________</w:t>
      </w:r>
    </w:p>
    <w:p>
      <w:pPr>
        <w:pStyle w:val="25"/>
        <w:ind w:firstLine="0" w:firstLineChars="0"/>
        <w:rPr>
          <w:rFonts w:ascii="Times New Roman"/>
        </w:rPr>
      </w:pPr>
    </w:p>
    <w:sectPr>
      <w:footerReference r:id="rId5" w:type="default"/>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w:panose1 w:val="02020609040205080304"/>
    <w:charset w:val="80"/>
    <w:family w:val="roman"/>
    <w:pitch w:val="default"/>
    <w:sig w:usb0="00000000" w:usb1="00000000" w:usb2="00000010" w:usb3="00000000" w:csb0="0002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9"/>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pPr>
    <w:r>
      <w:t>YB</w:t>
    </w:r>
    <w:r>
      <w:rPr>
        <w:rFonts w:hint="eastAsia"/>
      </w:rPr>
      <w:t>/T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8E82B"/>
    <w:multiLevelType w:val="multilevel"/>
    <w:tmpl w:val="CDF8E82B"/>
    <w:lvl w:ilvl="0" w:tentative="0">
      <w:start w:val="1"/>
      <w:numFmt w:val="decimal"/>
      <w:suff w:val="nothing"/>
      <w:lvlText w:val="%1　"/>
      <w:lvlJc w:val="left"/>
      <w:pPr>
        <w:ind w:left="0" w:firstLine="0"/>
      </w:pPr>
      <w:rPr>
        <w:rFonts w:hint="eastAsia" w:ascii="黑体" w:hAnsi="Times New Roman" w:eastAsia="黑体" w:cs="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pacing w:val="0"/>
        <w:sz w:val="21"/>
        <w:szCs w:val="21"/>
      </w:rPr>
    </w:lvl>
    <w:lvl w:ilvl="2" w:tentative="0">
      <w:start w:val="1"/>
      <w:numFmt w:val="decimal"/>
      <w:suff w:val="nothing"/>
      <w:lvlText w:val="%1.%2.%3　"/>
      <w:lvlJc w:val="left"/>
      <w:pPr>
        <w:ind w:left="0" w:firstLine="0"/>
      </w:pPr>
      <w:rPr>
        <w:rFonts w:hint="eastAsia" w:ascii="黑体" w:hAnsi="Times New Roman" w:eastAsia="黑体" w:cs="黑体"/>
        <w:b w:val="0"/>
        <w:i w:val="0"/>
        <w:sz w:val="21"/>
        <w:szCs w:val="21"/>
      </w:rPr>
    </w:lvl>
    <w:lvl w:ilvl="3" w:tentative="0">
      <w:start w:val="1"/>
      <w:numFmt w:val="decimal"/>
      <w:suff w:val="nothing"/>
      <w:lvlText w:val="%1.%2.%3.%4　"/>
      <w:lvlJc w:val="left"/>
      <w:pPr>
        <w:ind w:left="142" w:firstLine="0"/>
      </w:pPr>
      <w:rPr>
        <w:rFonts w:hint="eastAsia" w:ascii="黑体" w:hAnsi="Times New Roman" w:eastAsia="黑体" w:cs="黑体"/>
        <w:b w:val="0"/>
        <w:i w:val="0"/>
        <w:sz w:val="21"/>
        <w:szCs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szCs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szCs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szCs w:val="21"/>
      </w:rPr>
    </w:lvl>
    <w:lvl w:ilvl="7" w:tentative="0">
      <w:start w:val="1"/>
      <w:numFmt w:val="decimal"/>
      <w:lvlText w:val="%1.%2.%3.%4.%5.%6.%7.%8"/>
      <w:lvlJc w:val="left"/>
      <w:pPr>
        <w:tabs>
          <w:tab w:val="left" w:pos="4351"/>
        </w:tabs>
        <w:ind w:left="3969" w:hanging="1418"/>
      </w:pPr>
      <w:rPr>
        <w:rFonts w:hint="eastAsia" w:ascii="宋体" w:hAnsi="宋体" w:eastAsia="宋体" w:cs="宋体"/>
      </w:rPr>
    </w:lvl>
    <w:lvl w:ilvl="8" w:tentative="0">
      <w:start w:val="1"/>
      <w:numFmt w:val="decimal"/>
      <w:lvlText w:val="%1.%2.%3.%4.%5.%6.%7.%8.%9"/>
      <w:lvlJc w:val="left"/>
      <w:pPr>
        <w:tabs>
          <w:tab w:val="left" w:pos="4777"/>
        </w:tabs>
        <w:ind w:left="4677" w:hanging="1700"/>
      </w:pPr>
      <w:rPr>
        <w:rFonts w:hint="eastAsia" w:ascii="宋体" w:hAnsi="宋体" w:eastAsia="宋体" w:cs="宋体"/>
      </w:rPr>
    </w:lvl>
  </w:abstractNum>
  <w:abstractNum w:abstractNumId="1">
    <w:nsid w:val="F72B295C"/>
    <w:multiLevelType w:val="multilevel"/>
    <w:tmpl w:val="F72B295C"/>
    <w:lvl w:ilvl="0" w:tentative="0">
      <w:start w:val="1"/>
      <w:numFmt w:val="decimal"/>
      <w:pStyle w:val="53"/>
      <w:suff w:val="nothing"/>
      <w:lvlText w:val="%1　"/>
      <w:lvlJc w:val="left"/>
      <w:pPr>
        <w:tabs>
          <w:tab w:val="left" w:pos="0"/>
        </w:tabs>
        <w:ind w:left="0" w:firstLine="0"/>
      </w:pPr>
      <w:rPr>
        <w:rFonts w:hint="default" w:ascii="黑体" w:hAnsi="Times New Roman" w:eastAsia="黑体"/>
        <w:b w:val="0"/>
        <w:i w:val="0"/>
        <w:sz w:val="21"/>
        <w:szCs w:val="21"/>
      </w:rPr>
    </w:lvl>
    <w:lvl w:ilvl="1" w:tentative="0">
      <w:start w:val="1"/>
      <w:numFmt w:val="decimal"/>
      <w:pStyle w:val="62"/>
      <w:suff w:val="nothing"/>
      <w:lvlText w:val="%1.%2　"/>
      <w:lvlJc w:val="left"/>
      <w:pPr>
        <w:ind w:left="0" w:firstLine="0"/>
      </w:pPr>
      <w:rPr>
        <w:rFonts w:hint="default" w:ascii="黑体" w:hAnsi="黑体" w:eastAsia="黑体" w:cs="黑体"/>
        <w:b w:val="0"/>
        <w:bCs w:val="0"/>
        <w:i w:val="0"/>
        <w:iCs w:val="0"/>
        <w:caps w:val="0"/>
        <w:strike w:val="0"/>
        <w:dstrike w:val="0"/>
        <w:vanish w:val="0"/>
        <w:color w:val="000000"/>
        <w:spacing w:val="0"/>
        <w:kern w:val="0"/>
        <w:position w:val="0"/>
        <w:sz w:val="21"/>
        <w:szCs w:val="21"/>
        <w:u w:val="none"/>
        <w:vertAlign w:val="baseline"/>
      </w:rPr>
    </w:lvl>
    <w:lvl w:ilvl="2" w:tentative="0">
      <w:start w:val="2"/>
      <w:numFmt w:val="decimal"/>
      <w:suff w:val="nothing"/>
      <w:lvlText w:val="%1.%2.%3　"/>
      <w:lvlJc w:val="left"/>
      <w:pPr>
        <w:tabs>
          <w:tab w:val="left" w:pos="0"/>
        </w:tabs>
        <w:ind w:left="0" w:firstLine="0"/>
      </w:pPr>
      <w:rPr>
        <w:rFonts w:hint="default" w:ascii="宋体" w:hAnsi="宋体" w:eastAsia="宋体" w:cs="宋体"/>
        <w:b w:val="0"/>
        <w:i w:val="0"/>
        <w:sz w:val="21"/>
      </w:rPr>
    </w:lvl>
    <w:lvl w:ilvl="3" w:tentative="0">
      <w:start w:val="1"/>
      <w:numFmt w:val="none"/>
      <w:suff w:val="nothing"/>
      <w:lvlText w:val="%1.%2.%3　"/>
      <w:lvlJc w:val="left"/>
      <w:pPr>
        <w:tabs>
          <w:tab w:val="left" w:pos="0"/>
        </w:tabs>
        <w:ind w:left="0" w:firstLine="0"/>
      </w:pPr>
      <w:rPr>
        <w:rFonts w:hint="default" w:ascii="黑体" w:hAnsi="黑体" w:eastAsia="黑体" w:cs="黑体"/>
        <w:b w:val="0"/>
        <w:i w:val="0"/>
        <w:sz w:val="21"/>
      </w:rPr>
    </w:lvl>
    <w:lvl w:ilvl="4" w:tentative="0">
      <w:start w:val="1"/>
      <w:numFmt w:val="decimal"/>
      <w:suff w:val="nothing"/>
      <w:lvlText w:val="%1.%2.%3.%4.%5　"/>
      <w:lvlJc w:val="left"/>
      <w:pPr>
        <w:ind w:left="0" w:firstLine="0"/>
      </w:pPr>
      <w:rPr>
        <w:rFonts w:hint="default" w:ascii="宋体" w:hAnsi="宋体" w:eastAsia="宋体" w:cs="宋体"/>
        <w:b w:val="0"/>
        <w:i w:val="0"/>
        <w:sz w:val="21"/>
      </w:rPr>
    </w:lvl>
    <w:lvl w:ilvl="5" w:tentative="0">
      <w:start w:val="1"/>
      <w:numFmt w:val="none"/>
      <w:suff w:val="nothing"/>
      <w:lvlText w:val="%1.%2.%3."/>
      <w:lvlJc w:val="left"/>
      <w:pPr>
        <w:ind w:left="0" w:firstLine="0"/>
      </w:pPr>
      <w:rPr>
        <w:rFonts w:hint="default" w:ascii="宋体" w:hAnsi="宋体" w:eastAsia="宋体" w:cs="宋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093C6778"/>
    <w:multiLevelType w:val="multilevel"/>
    <w:tmpl w:val="093C6778"/>
    <w:lvl w:ilvl="0" w:tentative="0">
      <w:start w:val="1"/>
      <w:numFmt w:val="decimal"/>
      <w:pStyle w:val="4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9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0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21F28E86"/>
    <w:multiLevelType w:val="multilevel"/>
    <w:tmpl w:val="21F28E86"/>
    <w:lvl w:ilvl="0" w:tentative="0">
      <w:start w:val="5"/>
      <w:numFmt w:val="decimal"/>
      <w:suff w:val="nothing"/>
      <w:lvlText w:val="%1　"/>
      <w:lvlJc w:val="left"/>
      <w:pPr>
        <w:tabs>
          <w:tab w:val="left" w:pos="0"/>
        </w:tabs>
        <w:ind w:left="0" w:firstLine="0"/>
      </w:pPr>
      <w:rPr>
        <w:rFonts w:hint="default" w:ascii="宋体" w:hAnsi="宋体" w:eastAsia="宋体" w:cs="宋体"/>
        <w:b w:val="0"/>
        <w:i w:val="0"/>
        <w:sz w:val="21"/>
        <w:szCs w:val="21"/>
      </w:rPr>
    </w:lvl>
    <w:lvl w:ilvl="1" w:tentative="0">
      <w:start w:val="3"/>
      <w:numFmt w:val="decimal"/>
      <w:suff w:val="nothing"/>
      <w:lvlText w:val="%1.%2　"/>
      <w:lvlJc w:val="left"/>
      <w:pPr>
        <w:ind w:left="0" w:firstLine="0"/>
      </w:pPr>
      <w:rPr>
        <w:rFonts w:hint="default" w:ascii="宋体" w:hAnsi="宋体" w:eastAsia="宋体" w:cs="宋体"/>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75"/>
      <w:suff w:val="nothing"/>
      <w:lvlText w:val="%1.%2.%3　"/>
      <w:lvlJc w:val="left"/>
      <w:pPr>
        <w:tabs>
          <w:tab w:val="left" w:pos="0"/>
        </w:tabs>
        <w:ind w:left="0" w:firstLine="0"/>
      </w:pPr>
      <w:rPr>
        <w:rFonts w:hint="default" w:ascii="宋体" w:hAnsi="宋体" w:eastAsia="宋体" w:cs="宋体"/>
        <w:b w:val="0"/>
        <w:i w:val="0"/>
        <w:sz w:val="21"/>
      </w:rPr>
    </w:lvl>
    <w:lvl w:ilvl="3" w:tentative="0">
      <w:start w:val="1"/>
      <w:numFmt w:val="none"/>
      <w:pStyle w:val="76"/>
      <w:suff w:val="nothing"/>
      <w:lvlText w:val="%1.%2.%3　"/>
      <w:lvlJc w:val="left"/>
      <w:pPr>
        <w:tabs>
          <w:tab w:val="left" w:pos="0"/>
        </w:tabs>
        <w:ind w:left="0" w:firstLine="0"/>
      </w:pPr>
      <w:rPr>
        <w:rFonts w:hint="default" w:ascii="黑体" w:hAnsi="黑体" w:eastAsia="黑体" w:cs="黑体"/>
        <w:b w:val="0"/>
        <w:i w:val="0"/>
        <w:sz w:val="21"/>
      </w:rPr>
    </w:lvl>
    <w:lvl w:ilvl="4" w:tentative="0">
      <w:start w:val="1"/>
      <w:numFmt w:val="decimal"/>
      <w:pStyle w:val="95"/>
      <w:suff w:val="nothing"/>
      <w:lvlText w:val="%1.%2.%3.%4.%5　"/>
      <w:lvlJc w:val="left"/>
      <w:pPr>
        <w:ind w:left="0" w:firstLine="0"/>
      </w:pPr>
      <w:rPr>
        <w:rFonts w:hint="default" w:ascii="宋体" w:hAnsi="宋体" w:eastAsia="宋体" w:cs="宋体"/>
        <w:b w:val="0"/>
        <w:i w:val="0"/>
        <w:sz w:val="21"/>
      </w:rPr>
    </w:lvl>
    <w:lvl w:ilvl="5" w:tentative="0">
      <w:start w:val="1"/>
      <w:numFmt w:val="none"/>
      <w:pStyle w:val="100"/>
      <w:suff w:val="nothing"/>
      <w:lvlText w:val="%1.%2.%3."/>
      <w:lvlJc w:val="left"/>
      <w:pPr>
        <w:ind w:left="0" w:firstLine="0"/>
      </w:pPr>
      <w:rPr>
        <w:rFonts w:hint="default" w:ascii="宋体" w:hAnsi="宋体" w:eastAsia="宋体" w:cs="宋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10"/>
      <w:suff w:val="space"/>
      <w:lvlText w:val="%1"/>
      <w:lvlJc w:val="left"/>
      <w:pPr>
        <w:ind w:left="623" w:hanging="425"/>
      </w:pPr>
      <w:rPr>
        <w:rFonts w:hint="eastAsia"/>
      </w:rPr>
    </w:lvl>
    <w:lvl w:ilvl="1" w:tentative="0">
      <w:start w:val="1"/>
      <w:numFmt w:val="decimal"/>
      <w:pStyle w:val="14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08"/>
      <w:suff w:val="nothing"/>
      <w:lvlText w:val="%1——"/>
      <w:lvlJc w:val="left"/>
      <w:pPr>
        <w:ind w:left="833" w:hanging="408"/>
      </w:pPr>
      <w:rPr>
        <w:rFonts w:hint="eastAsia"/>
      </w:rPr>
    </w:lvl>
    <w:lvl w:ilvl="1" w:tentative="0">
      <w:start w:val="1"/>
      <w:numFmt w:val="bullet"/>
      <w:pStyle w:val="119"/>
      <w:lvlText w:val=""/>
      <w:lvlJc w:val="left"/>
      <w:pPr>
        <w:tabs>
          <w:tab w:val="left" w:pos="760"/>
        </w:tabs>
        <w:ind w:left="1264" w:hanging="413"/>
      </w:pPr>
      <w:rPr>
        <w:rFonts w:hint="default" w:ascii="Symbol" w:hAnsi="Symbol"/>
        <w:color w:val="auto"/>
      </w:rPr>
    </w:lvl>
    <w:lvl w:ilvl="2" w:tentative="0">
      <w:start w:val="1"/>
      <w:numFmt w:val="bullet"/>
      <w:pStyle w:val="12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1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4"/>
      <w:lvlText w:val="%2)"/>
      <w:lvlJc w:val="left"/>
      <w:pPr>
        <w:tabs>
          <w:tab w:val="left" w:pos="1260"/>
        </w:tabs>
        <w:ind w:left="1259" w:hanging="419"/>
      </w:pPr>
      <w:rPr>
        <w:rFonts w:hint="eastAsia"/>
      </w:rPr>
    </w:lvl>
    <w:lvl w:ilvl="2" w:tentative="0">
      <w:start w:val="1"/>
      <w:numFmt w:val="decimal"/>
      <w:pStyle w:val="10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8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6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57D1A07E"/>
    <w:multiLevelType w:val="multilevel"/>
    <w:tmpl w:val="57D1A07E"/>
    <w:lvl w:ilvl="0" w:tentative="0">
      <w:start w:val="1"/>
      <w:numFmt w:val="decimal"/>
      <w:pStyle w:val="13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3">
    <w:nsid w:val="59AE3640"/>
    <w:multiLevelType w:val="multilevel"/>
    <w:tmpl w:val="59AE3640"/>
    <w:lvl w:ilvl="0" w:tentative="0">
      <w:start w:val="1"/>
      <w:numFmt w:val="decimal"/>
      <w:pStyle w:val="13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4">
    <w:nsid w:val="60B55DC2"/>
    <w:multiLevelType w:val="multilevel"/>
    <w:tmpl w:val="60B55DC2"/>
    <w:lvl w:ilvl="0" w:tentative="0">
      <w:start w:val="1"/>
      <w:numFmt w:val="upperLetter"/>
      <w:pStyle w:val="151"/>
      <w:lvlText w:val="%1"/>
      <w:lvlJc w:val="left"/>
      <w:pPr>
        <w:tabs>
          <w:tab w:val="left" w:pos="0"/>
        </w:tabs>
        <w:ind w:left="0" w:hanging="425"/>
      </w:pPr>
      <w:rPr>
        <w:rFonts w:hint="eastAsia"/>
      </w:rPr>
    </w:lvl>
    <w:lvl w:ilvl="1" w:tentative="0">
      <w:start w:val="1"/>
      <w:numFmt w:val="decimal"/>
      <w:pStyle w:val="13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15"/>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14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8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8"/>
  </w:num>
  <w:num w:numId="2">
    <w:abstractNumId w:val="2"/>
  </w:num>
  <w:num w:numId="3">
    <w:abstractNumId w:val="1"/>
  </w:num>
  <w:num w:numId="4">
    <w:abstractNumId w:val="11"/>
  </w:num>
  <w:num w:numId="5">
    <w:abstractNumId w:val="16"/>
  </w:num>
  <w:num w:numId="6">
    <w:abstractNumId w:val="5"/>
  </w:num>
  <w:num w:numId="7">
    <w:abstractNumId w:val="17"/>
  </w:num>
  <w:num w:numId="8">
    <w:abstractNumId w:val="10"/>
  </w:num>
  <w:num w:numId="9">
    <w:abstractNumId w:val="3"/>
  </w:num>
  <w:num w:numId="10">
    <w:abstractNumId w:val="4"/>
  </w:num>
  <w:num w:numId="11">
    <w:abstractNumId w:val="9"/>
  </w:num>
  <w:num w:numId="12">
    <w:abstractNumId w:val="7"/>
  </w:num>
  <w:num w:numId="13">
    <w:abstractNumId w:val="6"/>
  </w:num>
  <w:num w:numId="14">
    <w:abstractNumId w:val="15"/>
  </w:num>
  <w:num w:numId="15">
    <w:abstractNumId w:val="14"/>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1NDczZWM3YmYxYTZhYTZhNTQxN2U1MmY2ODQyMTMifQ=="/>
  </w:docVars>
  <w:rsids>
    <w:rsidRoot w:val="00172A27"/>
    <w:rsid w:val="00000244"/>
    <w:rsid w:val="0000185F"/>
    <w:rsid w:val="00003467"/>
    <w:rsid w:val="000043D6"/>
    <w:rsid w:val="00004641"/>
    <w:rsid w:val="00004A51"/>
    <w:rsid w:val="0000586F"/>
    <w:rsid w:val="00006213"/>
    <w:rsid w:val="00007989"/>
    <w:rsid w:val="000121B8"/>
    <w:rsid w:val="000128A2"/>
    <w:rsid w:val="00013C95"/>
    <w:rsid w:val="00013D86"/>
    <w:rsid w:val="00013E02"/>
    <w:rsid w:val="0002143C"/>
    <w:rsid w:val="00022C79"/>
    <w:rsid w:val="00024A28"/>
    <w:rsid w:val="00025A65"/>
    <w:rsid w:val="00026C31"/>
    <w:rsid w:val="00026F18"/>
    <w:rsid w:val="00027280"/>
    <w:rsid w:val="000306A5"/>
    <w:rsid w:val="00030DA6"/>
    <w:rsid w:val="00031641"/>
    <w:rsid w:val="000320A7"/>
    <w:rsid w:val="0003210D"/>
    <w:rsid w:val="00032C9C"/>
    <w:rsid w:val="000343B7"/>
    <w:rsid w:val="00035925"/>
    <w:rsid w:val="000365A7"/>
    <w:rsid w:val="0004200D"/>
    <w:rsid w:val="00044E75"/>
    <w:rsid w:val="000456F5"/>
    <w:rsid w:val="00050FBF"/>
    <w:rsid w:val="00052479"/>
    <w:rsid w:val="0005607D"/>
    <w:rsid w:val="00063706"/>
    <w:rsid w:val="00063AC9"/>
    <w:rsid w:val="0006406C"/>
    <w:rsid w:val="0006738C"/>
    <w:rsid w:val="00067CDF"/>
    <w:rsid w:val="0007336F"/>
    <w:rsid w:val="00074FBE"/>
    <w:rsid w:val="00077CE6"/>
    <w:rsid w:val="00080693"/>
    <w:rsid w:val="00083A09"/>
    <w:rsid w:val="000857C7"/>
    <w:rsid w:val="0009005E"/>
    <w:rsid w:val="00090EEE"/>
    <w:rsid w:val="000923B7"/>
    <w:rsid w:val="00092857"/>
    <w:rsid w:val="00093735"/>
    <w:rsid w:val="00093930"/>
    <w:rsid w:val="00095CAD"/>
    <w:rsid w:val="00097EB6"/>
    <w:rsid w:val="000A20A9"/>
    <w:rsid w:val="000A48B1"/>
    <w:rsid w:val="000B0A19"/>
    <w:rsid w:val="000B0EA6"/>
    <w:rsid w:val="000B1071"/>
    <w:rsid w:val="000B3143"/>
    <w:rsid w:val="000B78AE"/>
    <w:rsid w:val="000C0B51"/>
    <w:rsid w:val="000C20F3"/>
    <w:rsid w:val="000C3E6C"/>
    <w:rsid w:val="000C42FF"/>
    <w:rsid w:val="000C47D6"/>
    <w:rsid w:val="000C4F67"/>
    <w:rsid w:val="000C6B05"/>
    <w:rsid w:val="000C6DD6"/>
    <w:rsid w:val="000C6FF1"/>
    <w:rsid w:val="000C73D4"/>
    <w:rsid w:val="000D0222"/>
    <w:rsid w:val="000D3D4C"/>
    <w:rsid w:val="000D4F51"/>
    <w:rsid w:val="000D6950"/>
    <w:rsid w:val="000D718B"/>
    <w:rsid w:val="000D7C0B"/>
    <w:rsid w:val="000E0C46"/>
    <w:rsid w:val="000E485D"/>
    <w:rsid w:val="000E581D"/>
    <w:rsid w:val="000E5F02"/>
    <w:rsid w:val="000E71B5"/>
    <w:rsid w:val="000F030C"/>
    <w:rsid w:val="000F0CE1"/>
    <w:rsid w:val="000F129C"/>
    <w:rsid w:val="000F1A93"/>
    <w:rsid w:val="000F1B17"/>
    <w:rsid w:val="000F2A25"/>
    <w:rsid w:val="000F3D71"/>
    <w:rsid w:val="000F5CF2"/>
    <w:rsid w:val="000F6372"/>
    <w:rsid w:val="001007F6"/>
    <w:rsid w:val="00100BD0"/>
    <w:rsid w:val="00102324"/>
    <w:rsid w:val="001045EB"/>
    <w:rsid w:val="00104E80"/>
    <w:rsid w:val="00105148"/>
    <w:rsid w:val="00105675"/>
    <w:rsid w:val="001056DE"/>
    <w:rsid w:val="00106872"/>
    <w:rsid w:val="00107D2F"/>
    <w:rsid w:val="001124C0"/>
    <w:rsid w:val="00113829"/>
    <w:rsid w:val="00115C05"/>
    <w:rsid w:val="00115E06"/>
    <w:rsid w:val="00116BB5"/>
    <w:rsid w:val="0011780B"/>
    <w:rsid w:val="00117DD8"/>
    <w:rsid w:val="00117FCB"/>
    <w:rsid w:val="00121E36"/>
    <w:rsid w:val="0012307A"/>
    <w:rsid w:val="001254A7"/>
    <w:rsid w:val="00125BF4"/>
    <w:rsid w:val="0013175F"/>
    <w:rsid w:val="001327E4"/>
    <w:rsid w:val="001371F4"/>
    <w:rsid w:val="00137927"/>
    <w:rsid w:val="001405D9"/>
    <w:rsid w:val="001430A0"/>
    <w:rsid w:val="001512B4"/>
    <w:rsid w:val="00157ACF"/>
    <w:rsid w:val="001620A5"/>
    <w:rsid w:val="0016315B"/>
    <w:rsid w:val="00163D24"/>
    <w:rsid w:val="00164467"/>
    <w:rsid w:val="001644B0"/>
    <w:rsid w:val="00164E53"/>
    <w:rsid w:val="00164FB1"/>
    <w:rsid w:val="001650E7"/>
    <w:rsid w:val="00165A55"/>
    <w:rsid w:val="0016699D"/>
    <w:rsid w:val="00166C6D"/>
    <w:rsid w:val="00167F5C"/>
    <w:rsid w:val="00170575"/>
    <w:rsid w:val="00172A27"/>
    <w:rsid w:val="00172AE8"/>
    <w:rsid w:val="00173B50"/>
    <w:rsid w:val="00174050"/>
    <w:rsid w:val="00175159"/>
    <w:rsid w:val="0017617D"/>
    <w:rsid w:val="00176208"/>
    <w:rsid w:val="00180F88"/>
    <w:rsid w:val="0018211B"/>
    <w:rsid w:val="001825E8"/>
    <w:rsid w:val="001840D3"/>
    <w:rsid w:val="00187AB7"/>
    <w:rsid w:val="001900F8"/>
    <w:rsid w:val="001908E2"/>
    <w:rsid w:val="00190E7E"/>
    <w:rsid w:val="00191258"/>
    <w:rsid w:val="00191555"/>
    <w:rsid w:val="00192680"/>
    <w:rsid w:val="00193037"/>
    <w:rsid w:val="00193A2C"/>
    <w:rsid w:val="001A1331"/>
    <w:rsid w:val="001A17C3"/>
    <w:rsid w:val="001A288E"/>
    <w:rsid w:val="001A32B0"/>
    <w:rsid w:val="001A3829"/>
    <w:rsid w:val="001A38DB"/>
    <w:rsid w:val="001A7962"/>
    <w:rsid w:val="001B5ECC"/>
    <w:rsid w:val="001B6DC2"/>
    <w:rsid w:val="001C0599"/>
    <w:rsid w:val="001C149C"/>
    <w:rsid w:val="001C21AC"/>
    <w:rsid w:val="001C40F2"/>
    <w:rsid w:val="001C47BA"/>
    <w:rsid w:val="001C4D6F"/>
    <w:rsid w:val="001C4EA1"/>
    <w:rsid w:val="001C59EA"/>
    <w:rsid w:val="001D3B71"/>
    <w:rsid w:val="001D406C"/>
    <w:rsid w:val="001D41EE"/>
    <w:rsid w:val="001E0380"/>
    <w:rsid w:val="001E05C0"/>
    <w:rsid w:val="001E13B1"/>
    <w:rsid w:val="001E17D9"/>
    <w:rsid w:val="001E1E5F"/>
    <w:rsid w:val="001E20E6"/>
    <w:rsid w:val="001F00B9"/>
    <w:rsid w:val="001F0DAE"/>
    <w:rsid w:val="001F378F"/>
    <w:rsid w:val="001F37EA"/>
    <w:rsid w:val="001F3A19"/>
    <w:rsid w:val="001F6179"/>
    <w:rsid w:val="00200351"/>
    <w:rsid w:val="002020AF"/>
    <w:rsid w:val="002039E9"/>
    <w:rsid w:val="002067F6"/>
    <w:rsid w:val="00206E81"/>
    <w:rsid w:val="0021257E"/>
    <w:rsid w:val="00212CEE"/>
    <w:rsid w:val="00216A99"/>
    <w:rsid w:val="00216C36"/>
    <w:rsid w:val="0022344D"/>
    <w:rsid w:val="002251ED"/>
    <w:rsid w:val="00225599"/>
    <w:rsid w:val="00225649"/>
    <w:rsid w:val="002256EA"/>
    <w:rsid w:val="0022641E"/>
    <w:rsid w:val="0022669B"/>
    <w:rsid w:val="002274E2"/>
    <w:rsid w:val="00231970"/>
    <w:rsid w:val="00231E54"/>
    <w:rsid w:val="00232E34"/>
    <w:rsid w:val="00234425"/>
    <w:rsid w:val="00234467"/>
    <w:rsid w:val="00234BD5"/>
    <w:rsid w:val="00235534"/>
    <w:rsid w:val="00237D8D"/>
    <w:rsid w:val="00241DA2"/>
    <w:rsid w:val="002427B9"/>
    <w:rsid w:val="00243C3C"/>
    <w:rsid w:val="00244909"/>
    <w:rsid w:val="0024579B"/>
    <w:rsid w:val="00245D5E"/>
    <w:rsid w:val="00246942"/>
    <w:rsid w:val="00246B9A"/>
    <w:rsid w:val="00246C5A"/>
    <w:rsid w:val="00247FEE"/>
    <w:rsid w:val="00250E7D"/>
    <w:rsid w:val="002511B8"/>
    <w:rsid w:val="0025493E"/>
    <w:rsid w:val="002565D5"/>
    <w:rsid w:val="002622C0"/>
    <w:rsid w:val="00266ED3"/>
    <w:rsid w:val="00274272"/>
    <w:rsid w:val="00274F5E"/>
    <w:rsid w:val="002778AE"/>
    <w:rsid w:val="002804ED"/>
    <w:rsid w:val="0028269A"/>
    <w:rsid w:val="002830EE"/>
    <w:rsid w:val="002833B5"/>
    <w:rsid w:val="00283590"/>
    <w:rsid w:val="002862C4"/>
    <w:rsid w:val="00286973"/>
    <w:rsid w:val="00286D25"/>
    <w:rsid w:val="00293B05"/>
    <w:rsid w:val="00294C12"/>
    <w:rsid w:val="00294E70"/>
    <w:rsid w:val="0029765B"/>
    <w:rsid w:val="002A1924"/>
    <w:rsid w:val="002A196F"/>
    <w:rsid w:val="002A2362"/>
    <w:rsid w:val="002A48D6"/>
    <w:rsid w:val="002A62C3"/>
    <w:rsid w:val="002A7420"/>
    <w:rsid w:val="002B00E5"/>
    <w:rsid w:val="002B0E50"/>
    <w:rsid w:val="002B0F12"/>
    <w:rsid w:val="002B1308"/>
    <w:rsid w:val="002B1E03"/>
    <w:rsid w:val="002B4554"/>
    <w:rsid w:val="002B63A7"/>
    <w:rsid w:val="002B6D75"/>
    <w:rsid w:val="002C07EC"/>
    <w:rsid w:val="002C1493"/>
    <w:rsid w:val="002C1CC4"/>
    <w:rsid w:val="002C2538"/>
    <w:rsid w:val="002C72D8"/>
    <w:rsid w:val="002D11FA"/>
    <w:rsid w:val="002D4791"/>
    <w:rsid w:val="002D5652"/>
    <w:rsid w:val="002D627B"/>
    <w:rsid w:val="002E0B71"/>
    <w:rsid w:val="002E0DDF"/>
    <w:rsid w:val="002E2906"/>
    <w:rsid w:val="002E30A4"/>
    <w:rsid w:val="002E5635"/>
    <w:rsid w:val="002E57B5"/>
    <w:rsid w:val="002E64C3"/>
    <w:rsid w:val="002E6A2C"/>
    <w:rsid w:val="002E6C34"/>
    <w:rsid w:val="002E6D1C"/>
    <w:rsid w:val="002F0A29"/>
    <w:rsid w:val="002F1B8B"/>
    <w:rsid w:val="002F1D8C"/>
    <w:rsid w:val="002F21DA"/>
    <w:rsid w:val="002F2CC0"/>
    <w:rsid w:val="00301F39"/>
    <w:rsid w:val="0030299D"/>
    <w:rsid w:val="00306DB5"/>
    <w:rsid w:val="00310082"/>
    <w:rsid w:val="003103DC"/>
    <w:rsid w:val="00311BD3"/>
    <w:rsid w:val="00317F44"/>
    <w:rsid w:val="00321625"/>
    <w:rsid w:val="00324DD6"/>
    <w:rsid w:val="00325926"/>
    <w:rsid w:val="00327A8A"/>
    <w:rsid w:val="00330464"/>
    <w:rsid w:val="0033349C"/>
    <w:rsid w:val="003357B2"/>
    <w:rsid w:val="00336610"/>
    <w:rsid w:val="003366F5"/>
    <w:rsid w:val="00336AED"/>
    <w:rsid w:val="00337AF9"/>
    <w:rsid w:val="00340D9B"/>
    <w:rsid w:val="003411B9"/>
    <w:rsid w:val="00343F73"/>
    <w:rsid w:val="00345060"/>
    <w:rsid w:val="00353084"/>
    <w:rsid w:val="0035323B"/>
    <w:rsid w:val="0035690D"/>
    <w:rsid w:val="003609D2"/>
    <w:rsid w:val="00361585"/>
    <w:rsid w:val="00361F80"/>
    <w:rsid w:val="00362A46"/>
    <w:rsid w:val="00363F22"/>
    <w:rsid w:val="003669AE"/>
    <w:rsid w:val="00372544"/>
    <w:rsid w:val="00375136"/>
    <w:rsid w:val="00375564"/>
    <w:rsid w:val="00383191"/>
    <w:rsid w:val="00383775"/>
    <w:rsid w:val="00386DED"/>
    <w:rsid w:val="00390F9E"/>
    <w:rsid w:val="003912E7"/>
    <w:rsid w:val="003917EA"/>
    <w:rsid w:val="00393947"/>
    <w:rsid w:val="00394094"/>
    <w:rsid w:val="0039427A"/>
    <w:rsid w:val="003A2275"/>
    <w:rsid w:val="003A3C2E"/>
    <w:rsid w:val="003A4EB5"/>
    <w:rsid w:val="003A6A4F"/>
    <w:rsid w:val="003A7088"/>
    <w:rsid w:val="003B00DF"/>
    <w:rsid w:val="003B1275"/>
    <w:rsid w:val="003B13C3"/>
    <w:rsid w:val="003B1778"/>
    <w:rsid w:val="003B2742"/>
    <w:rsid w:val="003B2B57"/>
    <w:rsid w:val="003B555A"/>
    <w:rsid w:val="003B70BF"/>
    <w:rsid w:val="003C11CB"/>
    <w:rsid w:val="003C2ED1"/>
    <w:rsid w:val="003C34FF"/>
    <w:rsid w:val="003C63B5"/>
    <w:rsid w:val="003C75F3"/>
    <w:rsid w:val="003C78A3"/>
    <w:rsid w:val="003D0439"/>
    <w:rsid w:val="003D3B06"/>
    <w:rsid w:val="003D5BB8"/>
    <w:rsid w:val="003D5F98"/>
    <w:rsid w:val="003D6405"/>
    <w:rsid w:val="003D7CB0"/>
    <w:rsid w:val="003E0A96"/>
    <w:rsid w:val="003E0AC2"/>
    <w:rsid w:val="003E0BC2"/>
    <w:rsid w:val="003E1867"/>
    <w:rsid w:val="003E1BDF"/>
    <w:rsid w:val="003E2A44"/>
    <w:rsid w:val="003E4BB8"/>
    <w:rsid w:val="003E5729"/>
    <w:rsid w:val="003E6E95"/>
    <w:rsid w:val="003F150F"/>
    <w:rsid w:val="003F1932"/>
    <w:rsid w:val="003F4EE0"/>
    <w:rsid w:val="003F5DBC"/>
    <w:rsid w:val="003F797E"/>
    <w:rsid w:val="00401C64"/>
    <w:rsid w:val="00402153"/>
    <w:rsid w:val="00402FC1"/>
    <w:rsid w:val="00416C13"/>
    <w:rsid w:val="00416CA8"/>
    <w:rsid w:val="004220AB"/>
    <w:rsid w:val="00423649"/>
    <w:rsid w:val="00423BA2"/>
    <w:rsid w:val="00423FF8"/>
    <w:rsid w:val="00425082"/>
    <w:rsid w:val="00425E9E"/>
    <w:rsid w:val="00426107"/>
    <w:rsid w:val="00427F79"/>
    <w:rsid w:val="0043064A"/>
    <w:rsid w:val="00431DEB"/>
    <w:rsid w:val="00432257"/>
    <w:rsid w:val="0043252B"/>
    <w:rsid w:val="00434257"/>
    <w:rsid w:val="004363DA"/>
    <w:rsid w:val="00443656"/>
    <w:rsid w:val="0044453F"/>
    <w:rsid w:val="00446B29"/>
    <w:rsid w:val="00447BDC"/>
    <w:rsid w:val="00450B6F"/>
    <w:rsid w:val="00453F9A"/>
    <w:rsid w:val="004565EE"/>
    <w:rsid w:val="0045665B"/>
    <w:rsid w:val="004605CF"/>
    <w:rsid w:val="00462586"/>
    <w:rsid w:val="00463AFD"/>
    <w:rsid w:val="00466372"/>
    <w:rsid w:val="004707A7"/>
    <w:rsid w:val="00471C5B"/>
    <w:rsid w:val="00471E91"/>
    <w:rsid w:val="004726C0"/>
    <w:rsid w:val="00473283"/>
    <w:rsid w:val="00474371"/>
    <w:rsid w:val="00474675"/>
    <w:rsid w:val="0047470C"/>
    <w:rsid w:val="00475782"/>
    <w:rsid w:val="0047591F"/>
    <w:rsid w:val="004776CB"/>
    <w:rsid w:val="004777BE"/>
    <w:rsid w:val="0048148E"/>
    <w:rsid w:val="0048205F"/>
    <w:rsid w:val="00484C2C"/>
    <w:rsid w:val="00486AB6"/>
    <w:rsid w:val="00486C78"/>
    <w:rsid w:val="00487407"/>
    <w:rsid w:val="00493B4B"/>
    <w:rsid w:val="004960D4"/>
    <w:rsid w:val="004971EB"/>
    <w:rsid w:val="0049772B"/>
    <w:rsid w:val="004A21CE"/>
    <w:rsid w:val="004A35F9"/>
    <w:rsid w:val="004A5636"/>
    <w:rsid w:val="004A6659"/>
    <w:rsid w:val="004A772D"/>
    <w:rsid w:val="004B1C40"/>
    <w:rsid w:val="004B24C1"/>
    <w:rsid w:val="004B43ED"/>
    <w:rsid w:val="004C00E4"/>
    <w:rsid w:val="004C210E"/>
    <w:rsid w:val="004C292F"/>
    <w:rsid w:val="004C2DC4"/>
    <w:rsid w:val="004C36A0"/>
    <w:rsid w:val="004C3F7C"/>
    <w:rsid w:val="004C5DBE"/>
    <w:rsid w:val="004C6056"/>
    <w:rsid w:val="004C7468"/>
    <w:rsid w:val="004C7502"/>
    <w:rsid w:val="004D1AD0"/>
    <w:rsid w:val="004D4F10"/>
    <w:rsid w:val="004E111B"/>
    <w:rsid w:val="004E2469"/>
    <w:rsid w:val="004E3AC7"/>
    <w:rsid w:val="004E6A71"/>
    <w:rsid w:val="004F70CE"/>
    <w:rsid w:val="00502546"/>
    <w:rsid w:val="005066E8"/>
    <w:rsid w:val="00506C1E"/>
    <w:rsid w:val="00506CF8"/>
    <w:rsid w:val="0050714E"/>
    <w:rsid w:val="00510280"/>
    <w:rsid w:val="00513A99"/>
    <w:rsid w:val="00513D73"/>
    <w:rsid w:val="00514A43"/>
    <w:rsid w:val="005174E5"/>
    <w:rsid w:val="00517643"/>
    <w:rsid w:val="00522393"/>
    <w:rsid w:val="00522620"/>
    <w:rsid w:val="00525656"/>
    <w:rsid w:val="005269F0"/>
    <w:rsid w:val="00532495"/>
    <w:rsid w:val="0053295D"/>
    <w:rsid w:val="00534C02"/>
    <w:rsid w:val="00536CFE"/>
    <w:rsid w:val="00537D7A"/>
    <w:rsid w:val="00537DC6"/>
    <w:rsid w:val="00541FE9"/>
    <w:rsid w:val="0054264B"/>
    <w:rsid w:val="00543786"/>
    <w:rsid w:val="00544852"/>
    <w:rsid w:val="00547894"/>
    <w:rsid w:val="00552D53"/>
    <w:rsid w:val="00553246"/>
    <w:rsid w:val="005533D7"/>
    <w:rsid w:val="00557240"/>
    <w:rsid w:val="00563E4B"/>
    <w:rsid w:val="005703DE"/>
    <w:rsid w:val="00572C30"/>
    <w:rsid w:val="00573544"/>
    <w:rsid w:val="0058071B"/>
    <w:rsid w:val="00583543"/>
    <w:rsid w:val="00583D5C"/>
    <w:rsid w:val="0058464E"/>
    <w:rsid w:val="00590D2C"/>
    <w:rsid w:val="005910C5"/>
    <w:rsid w:val="00591CE5"/>
    <w:rsid w:val="0059542A"/>
    <w:rsid w:val="00596E7A"/>
    <w:rsid w:val="005A01CB"/>
    <w:rsid w:val="005A07BB"/>
    <w:rsid w:val="005A58FF"/>
    <w:rsid w:val="005A5EAF"/>
    <w:rsid w:val="005A64C0"/>
    <w:rsid w:val="005A6DA2"/>
    <w:rsid w:val="005B0885"/>
    <w:rsid w:val="005B2196"/>
    <w:rsid w:val="005B3C11"/>
    <w:rsid w:val="005B4003"/>
    <w:rsid w:val="005B6BBE"/>
    <w:rsid w:val="005B6C28"/>
    <w:rsid w:val="005B77FC"/>
    <w:rsid w:val="005C13F7"/>
    <w:rsid w:val="005C1C28"/>
    <w:rsid w:val="005C47E4"/>
    <w:rsid w:val="005C49FD"/>
    <w:rsid w:val="005C6DB5"/>
    <w:rsid w:val="005D2D7F"/>
    <w:rsid w:val="005D7051"/>
    <w:rsid w:val="005D752F"/>
    <w:rsid w:val="005E19E7"/>
    <w:rsid w:val="005E1A17"/>
    <w:rsid w:val="005E4AD3"/>
    <w:rsid w:val="005F3736"/>
    <w:rsid w:val="006001AF"/>
    <w:rsid w:val="0060348B"/>
    <w:rsid w:val="006116FC"/>
    <w:rsid w:val="00613440"/>
    <w:rsid w:val="00613672"/>
    <w:rsid w:val="006153D9"/>
    <w:rsid w:val="0061698E"/>
    <w:rsid w:val="0061716C"/>
    <w:rsid w:val="00617263"/>
    <w:rsid w:val="00621D2E"/>
    <w:rsid w:val="006243A1"/>
    <w:rsid w:val="0063002B"/>
    <w:rsid w:val="006310A9"/>
    <w:rsid w:val="00631581"/>
    <w:rsid w:val="00632A5B"/>
    <w:rsid w:val="00632E56"/>
    <w:rsid w:val="00633BE5"/>
    <w:rsid w:val="0063455C"/>
    <w:rsid w:val="00635CBA"/>
    <w:rsid w:val="0064338B"/>
    <w:rsid w:val="00645368"/>
    <w:rsid w:val="00646542"/>
    <w:rsid w:val="0064741B"/>
    <w:rsid w:val="006504F4"/>
    <w:rsid w:val="00651536"/>
    <w:rsid w:val="00654BC9"/>
    <w:rsid w:val="006552FD"/>
    <w:rsid w:val="00656E4B"/>
    <w:rsid w:val="00663AF3"/>
    <w:rsid w:val="00664B43"/>
    <w:rsid w:val="00666B6C"/>
    <w:rsid w:val="00674B60"/>
    <w:rsid w:val="00675AC9"/>
    <w:rsid w:val="00676C33"/>
    <w:rsid w:val="00680A2F"/>
    <w:rsid w:val="006822C8"/>
    <w:rsid w:val="00682682"/>
    <w:rsid w:val="00682702"/>
    <w:rsid w:val="00682BB0"/>
    <w:rsid w:val="00686559"/>
    <w:rsid w:val="006917D7"/>
    <w:rsid w:val="00692368"/>
    <w:rsid w:val="0069349A"/>
    <w:rsid w:val="00693A86"/>
    <w:rsid w:val="00697AF9"/>
    <w:rsid w:val="006A2EBC"/>
    <w:rsid w:val="006A4017"/>
    <w:rsid w:val="006A5EA0"/>
    <w:rsid w:val="006A783B"/>
    <w:rsid w:val="006A7B33"/>
    <w:rsid w:val="006B4E13"/>
    <w:rsid w:val="006B75DD"/>
    <w:rsid w:val="006B774F"/>
    <w:rsid w:val="006C23DD"/>
    <w:rsid w:val="006C67E0"/>
    <w:rsid w:val="006C7A1E"/>
    <w:rsid w:val="006C7ABA"/>
    <w:rsid w:val="006C7E55"/>
    <w:rsid w:val="006D0817"/>
    <w:rsid w:val="006D0D60"/>
    <w:rsid w:val="006D1122"/>
    <w:rsid w:val="006D277E"/>
    <w:rsid w:val="006D3C00"/>
    <w:rsid w:val="006D4CF7"/>
    <w:rsid w:val="006D64C8"/>
    <w:rsid w:val="006E0CCE"/>
    <w:rsid w:val="006E1B6F"/>
    <w:rsid w:val="006E3675"/>
    <w:rsid w:val="006E3700"/>
    <w:rsid w:val="006E42FF"/>
    <w:rsid w:val="006E4A7F"/>
    <w:rsid w:val="006E57E6"/>
    <w:rsid w:val="006F4775"/>
    <w:rsid w:val="006F5B01"/>
    <w:rsid w:val="006F6D0F"/>
    <w:rsid w:val="006F7476"/>
    <w:rsid w:val="007034FC"/>
    <w:rsid w:val="00704B53"/>
    <w:rsid w:val="00704DF6"/>
    <w:rsid w:val="007050E0"/>
    <w:rsid w:val="00706060"/>
    <w:rsid w:val="0070651C"/>
    <w:rsid w:val="00707123"/>
    <w:rsid w:val="007102B2"/>
    <w:rsid w:val="00711E72"/>
    <w:rsid w:val="00712265"/>
    <w:rsid w:val="007132A3"/>
    <w:rsid w:val="00714C5A"/>
    <w:rsid w:val="00716421"/>
    <w:rsid w:val="00724B20"/>
    <w:rsid w:val="00724EFB"/>
    <w:rsid w:val="007254E2"/>
    <w:rsid w:val="00727177"/>
    <w:rsid w:val="00732AA1"/>
    <w:rsid w:val="00733B87"/>
    <w:rsid w:val="007357D7"/>
    <w:rsid w:val="00741550"/>
    <w:rsid w:val="007419C3"/>
    <w:rsid w:val="0074329F"/>
    <w:rsid w:val="007436C7"/>
    <w:rsid w:val="00745230"/>
    <w:rsid w:val="007467A7"/>
    <w:rsid w:val="007469DD"/>
    <w:rsid w:val="0074741B"/>
    <w:rsid w:val="0074759E"/>
    <w:rsid w:val="007478EA"/>
    <w:rsid w:val="00753F97"/>
    <w:rsid w:val="0075415C"/>
    <w:rsid w:val="0075418E"/>
    <w:rsid w:val="00762430"/>
    <w:rsid w:val="00762953"/>
    <w:rsid w:val="00763502"/>
    <w:rsid w:val="007648AE"/>
    <w:rsid w:val="00765407"/>
    <w:rsid w:val="007654FB"/>
    <w:rsid w:val="00765FB7"/>
    <w:rsid w:val="007663E3"/>
    <w:rsid w:val="0076720C"/>
    <w:rsid w:val="00767AC7"/>
    <w:rsid w:val="00771242"/>
    <w:rsid w:val="00772C9E"/>
    <w:rsid w:val="00773AD4"/>
    <w:rsid w:val="00775ACF"/>
    <w:rsid w:val="00776776"/>
    <w:rsid w:val="00777892"/>
    <w:rsid w:val="007811C7"/>
    <w:rsid w:val="00781612"/>
    <w:rsid w:val="00781F16"/>
    <w:rsid w:val="00782D5A"/>
    <w:rsid w:val="00782EE9"/>
    <w:rsid w:val="0078308C"/>
    <w:rsid w:val="007838A5"/>
    <w:rsid w:val="007840F6"/>
    <w:rsid w:val="007842D0"/>
    <w:rsid w:val="00787843"/>
    <w:rsid w:val="007913AB"/>
    <w:rsid w:val="007914F7"/>
    <w:rsid w:val="00791FFC"/>
    <w:rsid w:val="0079242D"/>
    <w:rsid w:val="007A13C2"/>
    <w:rsid w:val="007A1401"/>
    <w:rsid w:val="007A28B5"/>
    <w:rsid w:val="007A4845"/>
    <w:rsid w:val="007A708C"/>
    <w:rsid w:val="007A7814"/>
    <w:rsid w:val="007B1171"/>
    <w:rsid w:val="007B1625"/>
    <w:rsid w:val="007B1698"/>
    <w:rsid w:val="007B2A84"/>
    <w:rsid w:val="007B2CCE"/>
    <w:rsid w:val="007B3272"/>
    <w:rsid w:val="007B5C79"/>
    <w:rsid w:val="007B706E"/>
    <w:rsid w:val="007B71EB"/>
    <w:rsid w:val="007B784B"/>
    <w:rsid w:val="007B785E"/>
    <w:rsid w:val="007C5ED6"/>
    <w:rsid w:val="007C6205"/>
    <w:rsid w:val="007C686A"/>
    <w:rsid w:val="007C728E"/>
    <w:rsid w:val="007D2C53"/>
    <w:rsid w:val="007D3D60"/>
    <w:rsid w:val="007D5ACF"/>
    <w:rsid w:val="007D7537"/>
    <w:rsid w:val="007E059E"/>
    <w:rsid w:val="007E1980"/>
    <w:rsid w:val="007E32DA"/>
    <w:rsid w:val="007E4B76"/>
    <w:rsid w:val="007E5EA8"/>
    <w:rsid w:val="007F041D"/>
    <w:rsid w:val="007F0CF1"/>
    <w:rsid w:val="007F12A5"/>
    <w:rsid w:val="007F2DAB"/>
    <w:rsid w:val="007F4CF1"/>
    <w:rsid w:val="007F71D8"/>
    <w:rsid w:val="007F758D"/>
    <w:rsid w:val="007F7D52"/>
    <w:rsid w:val="00800835"/>
    <w:rsid w:val="0080521E"/>
    <w:rsid w:val="0080654C"/>
    <w:rsid w:val="00806833"/>
    <w:rsid w:val="008071C6"/>
    <w:rsid w:val="0080748B"/>
    <w:rsid w:val="00816A7D"/>
    <w:rsid w:val="00816BA4"/>
    <w:rsid w:val="00817A00"/>
    <w:rsid w:val="00820492"/>
    <w:rsid w:val="00820BD4"/>
    <w:rsid w:val="00823F80"/>
    <w:rsid w:val="00824B52"/>
    <w:rsid w:val="008346A1"/>
    <w:rsid w:val="00834C04"/>
    <w:rsid w:val="00835456"/>
    <w:rsid w:val="00835DB3"/>
    <w:rsid w:val="0083617B"/>
    <w:rsid w:val="008371BD"/>
    <w:rsid w:val="0084438C"/>
    <w:rsid w:val="00850320"/>
    <w:rsid w:val="008504A8"/>
    <w:rsid w:val="0085282E"/>
    <w:rsid w:val="008534D6"/>
    <w:rsid w:val="008539AE"/>
    <w:rsid w:val="00854F8E"/>
    <w:rsid w:val="00857C28"/>
    <w:rsid w:val="00866029"/>
    <w:rsid w:val="00866C75"/>
    <w:rsid w:val="0087198C"/>
    <w:rsid w:val="00872C1F"/>
    <w:rsid w:val="00873B42"/>
    <w:rsid w:val="0087452D"/>
    <w:rsid w:val="00875340"/>
    <w:rsid w:val="00880C9F"/>
    <w:rsid w:val="00883A00"/>
    <w:rsid w:val="008856B9"/>
    <w:rsid w:val="008856D8"/>
    <w:rsid w:val="008867E2"/>
    <w:rsid w:val="008903DB"/>
    <w:rsid w:val="00890DCE"/>
    <w:rsid w:val="00891ECC"/>
    <w:rsid w:val="00892E82"/>
    <w:rsid w:val="008976F4"/>
    <w:rsid w:val="008A197A"/>
    <w:rsid w:val="008A547C"/>
    <w:rsid w:val="008B226F"/>
    <w:rsid w:val="008B29EC"/>
    <w:rsid w:val="008B6301"/>
    <w:rsid w:val="008C0CB8"/>
    <w:rsid w:val="008C1B58"/>
    <w:rsid w:val="008C21B1"/>
    <w:rsid w:val="008C39AE"/>
    <w:rsid w:val="008C4D50"/>
    <w:rsid w:val="008C57EE"/>
    <w:rsid w:val="008C590D"/>
    <w:rsid w:val="008D1EDA"/>
    <w:rsid w:val="008D2652"/>
    <w:rsid w:val="008D371B"/>
    <w:rsid w:val="008D6462"/>
    <w:rsid w:val="008E031B"/>
    <w:rsid w:val="008E27FB"/>
    <w:rsid w:val="008E6D30"/>
    <w:rsid w:val="008E7029"/>
    <w:rsid w:val="008E71D3"/>
    <w:rsid w:val="008E7EF6"/>
    <w:rsid w:val="008F107B"/>
    <w:rsid w:val="008F1F98"/>
    <w:rsid w:val="008F6758"/>
    <w:rsid w:val="008F6CD7"/>
    <w:rsid w:val="00902483"/>
    <w:rsid w:val="009040DD"/>
    <w:rsid w:val="00905B47"/>
    <w:rsid w:val="00906151"/>
    <w:rsid w:val="00906E4E"/>
    <w:rsid w:val="00907806"/>
    <w:rsid w:val="0091331C"/>
    <w:rsid w:val="00913809"/>
    <w:rsid w:val="009163B5"/>
    <w:rsid w:val="00917474"/>
    <w:rsid w:val="0091755C"/>
    <w:rsid w:val="00917EC0"/>
    <w:rsid w:val="0092257A"/>
    <w:rsid w:val="00922B09"/>
    <w:rsid w:val="00923C74"/>
    <w:rsid w:val="009251B7"/>
    <w:rsid w:val="009279DE"/>
    <w:rsid w:val="00927BAE"/>
    <w:rsid w:val="00930116"/>
    <w:rsid w:val="00931E12"/>
    <w:rsid w:val="00932E27"/>
    <w:rsid w:val="0093447D"/>
    <w:rsid w:val="009403CF"/>
    <w:rsid w:val="00940DBA"/>
    <w:rsid w:val="00940F1F"/>
    <w:rsid w:val="009416D5"/>
    <w:rsid w:val="00941D82"/>
    <w:rsid w:val="0094212C"/>
    <w:rsid w:val="0094309F"/>
    <w:rsid w:val="009432CD"/>
    <w:rsid w:val="009467CE"/>
    <w:rsid w:val="00946CA1"/>
    <w:rsid w:val="009478FD"/>
    <w:rsid w:val="0095249C"/>
    <w:rsid w:val="00954689"/>
    <w:rsid w:val="009617C9"/>
    <w:rsid w:val="00961A86"/>
    <w:rsid w:val="00961C93"/>
    <w:rsid w:val="00962EDD"/>
    <w:rsid w:val="00965324"/>
    <w:rsid w:val="00967B35"/>
    <w:rsid w:val="0097091E"/>
    <w:rsid w:val="00971F4F"/>
    <w:rsid w:val="00974BA5"/>
    <w:rsid w:val="009760D3"/>
    <w:rsid w:val="00977132"/>
    <w:rsid w:val="00977A95"/>
    <w:rsid w:val="00980C71"/>
    <w:rsid w:val="00981397"/>
    <w:rsid w:val="00981A4B"/>
    <w:rsid w:val="00982501"/>
    <w:rsid w:val="00983FBB"/>
    <w:rsid w:val="00984ADB"/>
    <w:rsid w:val="0098548C"/>
    <w:rsid w:val="00986DC4"/>
    <w:rsid w:val="009877D3"/>
    <w:rsid w:val="00987BFA"/>
    <w:rsid w:val="009921F1"/>
    <w:rsid w:val="00993B9F"/>
    <w:rsid w:val="00994E8F"/>
    <w:rsid w:val="009951DC"/>
    <w:rsid w:val="009959BB"/>
    <w:rsid w:val="00995AE1"/>
    <w:rsid w:val="00996B99"/>
    <w:rsid w:val="00997158"/>
    <w:rsid w:val="009A0DD3"/>
    <w:rsid w:val="009A0F45"/>
    <w:rsid w:val="009A167B"/>
    <w:rsid w:val="009A2DC4"/>
    <w:rsid w:val="009A3A7C"/>
    <w:rsid w:val="009B1474"/>
    <w:rsid w:val="009B2ADB"/>
    <w:rsid w:val="009B3BBB"/>
    <w:rsid w:val="009B4627"/>
    <w:rsid w:val="009B4656"/>
    <w:rsid w:val="009B5760"/>
    <w:rsid w:val="009B603A"/>
    <w:rsid w:val="009B63A2"/>
    <w:rsid w:val="009B671C"/>
    <w:rsid w:val="009C1764"/>
    <w:rsid w:val="009C1EB9"/>
    <w:rsid w:val="009C25EF"/>
    <w:rsid w:val="009C2D0E"/>
    <w:rsid w:val="009C3DAC"/>
    <w:rsid w:val="009C3E04"/>
    <w:rsid w:val="009C42E0"/>
    <w:rsid w:val="009D5362"/>
    <w:rsid w:val="009D5F58"/>
    <w:rsid w:val="009D7AC7"/>
    <w:rsid w:val="009E0F45"/>
    <w:rsid w:val="009E1415"/>
    <w:rsid w:val="009E3528"/>
    <w:rsid w:val="009E6116"/>
    <w:rsid w:val="009E72D4"/>
    <w:rsid w:val="009F3A90"/>
    <w:rsid w:val="009F5BA2"/>
    <w:rsid w:val="009F5D3C"/>
    <w:rsid w:val="00A01B34"/>
    <w:rsid w:val="00A0236A"/>
    <w:rsid w:val="00A02523"/>
    <w:rsid w:val="00A02E43"/>
    <w:rsid w:val="00A03ABB"/>
    <w:rsid w:val="00A05487"/>
    <w:rsid w:val="00A057A6"/>
    <w:rsid w:val="00A065F9"/>
    <w:rsid w:val="00A066B7"/>
    <w:rsid w:val="00A06A03"/>
    <w:rsid w:val="00A07F34"/>
    <w:rsid w:val="00A1124C"/>
    <w:rsid w:val="00A22154"/>
    <w:rsid w:val="00A2558E"/>
    <w:rsid w:val="00A25C38"/>
    <w:rsid w:val="00A25D51"/>
    <w:rsid w:val="00A26D12"/>
    <w:rsid w:val="00A26EDE"/>
    <w:rsid w:val="00A32849"/>
    <w:rsid w:val="00A35FF7"/>
    <w:rsid w:val="00A36BBE"/>
    <w:rsid w:val="00A4307A"/>
    <w:rsid w:val="00A438A8"/>
    <w:rsid w:val="00A47630"/>
    <w:rsid w:val="00A479B5"/>
    <w:rsid w:val="00A47EBB"/>
    <w:rsid w:val="00A51CDD"/>
    <w:rsid w:val="00A52B08"/>
    <w:rsid w:val="00A54BAB"/>
    <w:rsid w:val="00A573D9"/>
    <w:rsid w:val="00A604D8"/>
    <w:rsid w:val="00A60FAE"/>
    <w:rsid w:val="00A61075"/>
    <w:rsid w:val="00A634B0"/>
    <w:rsid w:val="00A64015"/>
    <w:rsid w:val="00A640BB"/>
    <w:rsid w:val="00A6496E"/>
    <w:rsid w:val="00A64B92"/>
    <w:rsid w:val="00A6730D"/>
    <w:rsid w:val="00A7076D"/>
    <w:rsid w:val="00A71625"/>
    <w:rsid w:val="00A71B9B"/>
    <w:rsid w:val="00A72474"/>
    <w:rsid w:val="00A731DB"/>
    <w:rsid w:val="00A73AAD"/>
    <w:rsid w:val="00A751C7"/>
    <w:rsid w:val="00A76237"/>
    <w:rsid w:val="00A81025"/>
    <w:rsid w:val="00A81F5A"/>
    <w:rsid w:val="00A851D2"/>
    <w:rsid w:val="00A85356"/>
    <w:rsid w:val="00A87844"/>
    <w:rsid w:val="00A92698"/>
    <w:rsid w:val="00A93733"/>
    <w:rsid w:val="00A94122"/>
    <w:rsid w:val="00A94C41"/>
    <w:rsid w:val="00AA038C"/>
    <w:rsid w:val="00AA2E47"/>
    <w:rsid w:val="00AA34B4"/>
    <w:rsid w:val="00AA3A13"/>
    <w:rsid w:val="00AA3AA2"/>
    <w:rsid w:val="00AA6317"/>
    <w:rsid w:val="00AA7A09"/>
    <w:rsid w:val="00AB1EE7"/>
    <w:rsid w:val="00AB24E2"/>
    <w:rsid w:val="00AB2D72"/>
    <w:rsid w:val="00AB38C8"/>
    <w:rsid w:val="00AB3B50"/>
    <w:rsid w:val="00AC05B1"/>
    <w:rsid w:val="00AC54A5"/>
    <w:rsid w:val="00AC5F8E"/>
    <w:rsid w:val="00AD20F1"/>
    <w:rsid w:val="00AD3451"/>
    <w:rsid w:val="00AD356C"/>
    <w:rsid w:val="00AD4511"/>
    <w:rsid w:val="00AD7C3A"/>
    <w:rsid w:val="00AE1925"/>
    <w:rsid w:val="00AE2914"/>
    <w:rsid w:val="00AE2954"/>
    <w:rsid w:val="00AE43EA"/>
    <w:rsid w:val="00AE5C5B"/>
    <w:rsid w:val="00AE6D15"/>
    <w:rsid w:val="00AF0833"/>
    <w:rsid w:val="00AF1022"/>
    <w:rsid w:val="00AF1754"/>
    <w:rsid w:val="00AF23AA"/>
    <w:rsid w:val="00AF4FD9"/>
    <w:rsid w:val="00AF5328"/>
    <w:rsid w:val="00AF5782"/>
    <w:rsid w:val="00B02BE2"/>
    <w:rsid w:val="00B04182"/>
    <w:rsid w:val="00B06B5D"/>
    <w:rsid w:val="00B07AE3"/>
    <w:rsid w:val="00B07C60"/>
    <w:rsid w:val="00B07E0F"/>
    <w:rsid w:val="00B10A76"/>
    <w:rsid w:val="00B10E63"/>
    <w:rsid w:val="00B11430"/>
    <w:rsid w:val="00B1190C"/>
    <w:rsid w:val="00B12060"/>
    <w:rsid w:val="00B13917"/>
    <w:rsid w:val="00B14DD4"/>
    <w:rsid w:val="00B20DB9"/>
    <w:rsid w:val="00B23F87"/>
    <w:rsid w:val="00B27F65"/>
    <w:rsid w:val="00B31176"/>
    <w:rsid w:val="00B347E1"/>
    <w:rsid w:val="00B353EB"/>
    <w:rsid w:val="00B35763"/>
    <w:rsid w:val="00B372D3"/>
    <w:rsid w:val="00B439C4"/>
    <w:rsid w:val="00B44482"/>
    <w:rsid w:val="00B44CE5"/>
    <w:rsid w:val="00B4535E"/>
    <w:rsid w:val="00B463E6"/>
    <w:rsid w:val="00B4730C"/>
    <w:rsid w:val="00B50E95"/>
    <w:rsid w:val="00B5128A"/>
    <w:rsid w:val="00B52A8C"/>
    <w:rsid w:val="00B56224"/>
    <w:rsid w:val="00B636A8"/>
    <w:rsid w:val="00B6655D"/>
    <w:rsid w:val="00B665C6"/>
    <w:rsid w:val="00B67DF4"/>
    <w:rsid w:val="00B742F7"/>
    <w:rsid w:val="00B74BF3"/>
    <w:rsid w:val="00B8053A"/>
    <w:rsid w:val="00B805AF"/>
    <w:rsid w:val="00B82358"/>
    <w:rsid w:val="00B869EC"/>
    <w:rsid w:val="00B9397A"/>
    <w:rsid w:val="00B9633D"/>
    <w:rsid w:val="00B963D9"/>
    <w:rsid w:val="00BA135C"/>
    <w:rsid w:val="00BA1BB9"/>
    <w:rsid w:val="00BA1CB8"/>
    <w:rsid w:val="00BA2EBE"/>
    <w:rsid w:val="00BA34BC"/>
    <w:rsid w:val="00BA5F4E"/>
    <w:rsid w:val="00BB0F28"/>
    <w:rsid w:val="00BB44E2"/>
    <w:rsid w:val="00BB458A"/>
    <w:rsid w:val="00BC192D"/>
    <w:rsid w:val="00BC24D0"/>
    <w:rsid w:val="00BC4CDD"/>
    <w:rsid w:val="00BC550E"/>
    <w:rsid w:val="00BC5AB7"/>
    <w:rsid w:val="00BC5D7B"/>
    <w:rsid w:val="00BC631F"/>
    <w:rsid w:val="00BC6DB7"/>
    <w:rsid w:val="00BD00D3"/>
    <w:rsid w:val="00BD15E7"/>
    <w:rsid w:val="00BD1659"/>
    <w:rsid w:val="00BD19AE"/>
    <w:rsid w:val="00BD2767"/>
    <w:rsid w:val="00BD29B3"/>
    <w:rsid w:val="00BD3819"/>
    <w:rsid w:val="00BD3AA9"/>
    <w:rsid w:val="00BD4A18"/>
    <w:rsid w:val="00BD5FF9"/>
    <w:rsid w:val="00BD6DB2"/>
    <w:rsid w:val="00BE11CF"/>
    <w:rsid w:val="00BE2128"/>
    <w:rsid w:val="00BE21AB"/>
    <w:rsid w:val="00BE2D78"/>
    <w:rsid w:val="00BE55CB"/>
    <w:rsid w:val="00BE79E8"/>
    <w:rsid w:val="00BF380C"/>
    <w:rsid w:val="00BF617A"/>
    <w:rsid w:val="00BF7460"/>
    <w:rsid w:val="00C02CDE"/>
    <w:rsid w:val="00C0379D"/>
    <w:rsid w:val="00C03931"/>
    <w:rsid w:val="00C05FE3"/>
    <w:rsid w:val="00C0778B"/>
    <w:rsid w:val="00C10F31"/>
    <w:rsid w:val="00C1503B"/>
    <w:rsid w:val="00C16594"/>
    <w:rsid w:val="00C17D46"/>
    <w:rsid w:val="00C2136D"/>
    <w:rsid w:val="00C214EE"/>
    <w:rsid w:val="00C216CA"/>
    <w:rsid w:val="00C2314B"/>
    <w:rsid w:val="00C24834"/>
    <w:rsid w:val="00C24971"/>
    <w:rsid w:val="00C26529"/>
    <w:rsid w:val="00C26BE5"/>
    <w:rsid w:val="00C26E4D"/>
    <w:rsid w:val="00C27909"/>
    <w:rsid w:val="00C27B03"/>
    <w:rsid w:val="00C30B37"/>
    <w:rsid w:val="00C314E1"/>
    <w:rsid w:val="00C320A2"/>
    <w:rsid w:val="00C32911"/>
    <w:rsid w:val="00C34397"/>
    <w:rsid w:val="00C34FAF"/>
    <w:rsid w:val="00C356E3"/>
    <w:rsid w:val="00C3693E"/>
    <w:rsid w:val="00C40658"/>
    <w:rsid w:val="00C40870"/>
    <w:rsid w:val="00C4095D"/>
    <w:rsid w:val="00C42B4D"/>
    <w:rsid w:val="00C4357E"/>
    <w:rsid w:val="00C4616C"/>
    <w:rsid w:val="00C4622D"/>
    <w:rsid w:val="00C52822"/>
    <w:rsid w:val="00C54E2E"/>
    <w:rsid w:val="00C57C4E"/>
    <w:rsid w:val="00C601D2"/>
    <w:rsid w:val="00C6147F"/>
    <w:rsid w:val="00C62497"/>
    <w:rsid w:val="00C657AB"/>
    <w:rsid w:val="00C65BCC"/>
    <w:rsid w:val="00C66970"/>
    <w:rsid w:val="00C72A0B"/>
    <w:rsid w:val="00C75A8B"/>
    <w:rsid w:val="00C80806"/>
    <w:rsid w:val="00C80BC9"/>
    <w:rsid w:val="00C84960"/>
    <w:rsid w:val="00C84F86"/>
    <w:rsid w:val="00C8517F"/>
    <w:rsid w:val="00C8691C"/>
    <w:rsid w:val="00C87472"/>
    <w:rsid w:val="00CA168A"/>
    <w:rsid w:val="00CA1922"/>
    <w:rsid w:val="00CA2F78"/>
    <w:rsid w:val="00CA357E"/>
    <w:rsid w:val="00CA44F9"/>
    <w:rsid w:val="00CA4A69"/>
    <w:rsid w:val="00CA51AD"/>
    <w:rsid w:val="00CB0E42"/>
    <w:rsid w:val="00CC1CE9"/>
    <w:rsid w:val="00CC3E0C"/>
    <w:rsid w:val="00CC58D3"/>
    <w:rsid w:val="00CC784D"/>
    <w:rsid w:val="00CD1172"/>
    <w:rsid w:val="00CD1EF0"/>
    <w:rsid w:val="00CD35CE"/>
    <w:rsid w:val="00CD394E"/>
    <w:rsid w:val="00CD3FDD"/>
    <w:rsid w:val="00CD5D9F"/>
    <w:rsid w:val="00CD65C1"/>
    <w:rsid w:val="00CD6BA1"/>
    <w:rsid w:val="00CE0973"/>
    <w:rsid w:val="00CE404E"/>
    <w:rsid w:val="00CE539E"/>
    <w:rsid w:val="00CF18E8"/>
    <w:rsid w:val="00CF21C7"/>
    <w:rsid w:val="00CF5D35"/>
    <w:rsid w:val="00CF5F08"/>
    <w:rsid w:val="00CF6936"/>
    <w:rsid w:val="00D02D16"/>
    <w:rsid w:val="00D0337B"/>
    <w:rsid w:val="00D038EF"/>
    <w:rsid w:val="00D06B09"/>
    <w:rsid w:val="00D07217"/>
    <w:rsid w:val="00D079B2"/>
    <w:rsid w:val="00D10C72"/>
    <w:rsid w:val="00D114E9"/>
    <w:rsid w:val="00D11ACF"/>
    <w:rsid w:val="00D124C8"/>
    <w:rsid w:val="00D16444"/>
    <w:rsid w:val="00D200DD"/>
    <w:rsid w:val="00D2659F"/>
    <w:rsid w:val="00D27326"/>
    <w:rsid w:val="00D27338"/>
    <w:rsid w:val="00D4052A"/>
    <w:rsid w:val="00D4113D"/>
    <w:rsid w:val="00D429C6"/>
    <w:rsid w:val="00D44705"/>
    <w:rsid w:val="00D44D2E"/>
    <w:rsid w:val="00D47531"/>
    <w:rsid w:val="00D47670"/>
    <w:rsid w:val="00D47748"/>
    <w:rsid w:val="00D50B4C"/>
    <w:rsid w:val="00D54CC3"/>
    <w:rsid w:val="00D6041A"/>
    <w:rsid w:val="00D60F0D"/>
    <w:rsid w:val="00D6170F"/>
    <w:rsid w:val="00D632F6"/>
    <w:rsid w:val="00D633EB"/>
    <w:rsid w:val="00D64FC7"/>
    <w:rsid w:val="00D66F27"/>
    <w:rsid w:val="00D759A0"/>
    <w:rsid w:val="00D80F29"/>
    <w:rsid w:val="00D82FF7"/>
    <w:rsid w:val="00D83AEA"/>
    <w:rsid w:val="00D847FE"/>
    <w:rsid w:val="00D9074C"/>
    <w:rsid w:val="00D9210E"/>
    <w:rsid w:val="00D92A4B"/>
    <w:rsid w:val="00D964EA"/>
    <w:rsid w:val="00D966D0"/>
    <w:rsid w:val="00D97960"/>
    <w:rsid w:val="00DA0C59"/>
    <w:rsid w:val="00DA3991"/>
    <w:rsid w:val="00DA61DB"/>
    <w:rsid w:val="00DA7A6C"/>
    <w:rsid w:val="00DB7919"/>
    <w:rsid w:val="00DB7E6C"/>
    <w:rsid w:val="00DC10AB"/>
    <w:rsid w:val="00DC392F"/>
    <w:rsid w:val="00DC7596"/>
    <w:rsid w:val="00DD361A"/>
    <w:rsid w:val="00DD36F2"/>
    <w:rsid w:val="00DD440B"/>
    <w:rsid w:val="00DD5A29"/>
    <w:rsid w:val="00DD5D9D"/>
    <w:rsid w:val="00DD679E"/>
    <w:rsid w:val="00DE11C4"/>
    <w:rsid w:val="00DE1E91"/>
    <w:rsid w:val="00DE35CB"/>
    <w:rsid w:val="00DE55F0"/>
    <w:rsid w:val="00DE5DF1"/>
    <w:rsid w:val="00DF0E46"/>
    <w:rsid w:val="00DF21E9"/>
    <w:rsid w:val="00DF7333"/>
    <w:rsid w:val="00DF7C30"/>
    <w:rsid w:val="00E00F14"/>
    <w:rsid w:val="00E0431E"/>
    <w:rsid w:val="00E06386"/>
    <w:rsid w:val="00E07EEA"/>
    <w:rsid w:val="00E10BDA"/>
    <w:rsid w:val="00E11102"/>
    <w:rsid w:val="00E148B2"/>
    <w:rsid w:val="00E16D0D"/>
    <w:rsid w:val="00E1738A"/>
    <w:rsid w:val="00E21C77"/>
    <w:rsid w:val="00E2279F"/>
    <w:rsid w:val="00E24EB4"/>
    <w:rsid w:val="00E24F39"/>
    <w:rsid w:val="00E2506D"/>
    <w:rsid w:val="00E30E06"/>
    <w:rsid w:val="00E31407"/>
    <w:rsid w:val="00E320ED"/>
    <w:rsid w:val="00E33AFB"/>
    <w:rsid w:val="00E34218"/>
    <w:rsid w:val="00E3514A"/>
    <w:rsid w:val="00E428EB"/>
    <w:rsid w:val="00E4390A"/>
    <w:rsid w:val="00E45013"/>
    <w:rsid w:val="00E45A0A"/>
    <w:rsid w:val="00E46282"/>
    <w:rsid w:val="00E50344"/>
    <w:rsid w:val="00E5216E"/>
    <w:rsid w:val="00E53385"/>
    <w:rsid w:val="00E557A7"/>
    <w:rsid w:val="00E5627D"/>
    <w:rsid w:val="00E6233B"/>
    <w:rsid w:val="00E6413E"/>
    <w:rsid w:val="00E731CC"/>
    <w:rsid w:val="00E7604E"/>
    <w:rsid w:val="00E82344"/>
    <w:rsid w:val="00E82BD1"/>
    <w:rsid w:val="00E84532"/>
    <w:rsid w:val="00E84C82"/>
    <w:rsid w:val="00E84D64"/>
    <w:rsid w:val="00E863A4"/>
    <w:rsid w:val="00E864AB"/>
    <w:rsid w:val="00E87408"/>
    <w:rsid w:val="00E914C4"/>
    <w:rsid w:val="00E91F35"/>
    <w:rsid w:val="00E9296F"/>
    <w:rsid w:val="00E934F5"/>
    <w:rsid w:val="00E9531D"/>
    <w:rsid w:val="00E966F4"/>
    <w:rsid w:val="00E96961"/>
    <w:rsid w:val="00EA12B4"/>
    <w:rsid w:val="00EA1911"/>
    <w:rsid w:val="00EA5271"/>
    <w:rsid w:val="00EA66A3"/>
    <w:rsid w:val="00EA6753"/>
    <w:rsid w:val="00EA72EC"/>
    <w:rsid w:val="00EB11CB"/>
    <w:rsid w:val="00EB275A"/>
    <w:rsid w:val="00EB4A18"/>
    <w:rsid w:val="00EB786A"/>
    <w:rsid w:val="00EC1578"/>
    <w:rsid w:val="00EC18EB"/>
    <w:rsid w:val="00EC1C72"/>
    <w:rsid w:val="00EC1CDA"/>
    <w:rsid w:val="00EC2989"/>
    <w:rsid w:val="00EC3CC9"/>
    <w:rsid w:val="00EC680A"/>
    <w:rsid w:val="00EC6FDB"/>
    <w:rsid w:val="00ED2CEB"/>
    <w:rsid w:val="00ED49AD"/>
    <w:rsid w:val="00ED63FD"/>
    <w:rsid w:val="00ED6EEF"/>
    <w:rsid w:val="00ED7D4B"/>
    <w:rsid w:val="00EE0E3D"/>
    <w:rsid w:val="00EE1795"/>
    <w:rsid w:val="00EE17DE"/>
    <w:rsid w:val="00EE22A1"/>
    <w:rsid w:val="00EE2BED"/>
    <w:rsid w:val="00EE374B"/>
    <w:rsid w:val="00EE6AA6"/>
    <w:rsid w:val="00EE7905"/>
    <w:rsid w:val="00EF0967"/>
    <w:rsid w:val="00EF3339"/>
    <w:rsid w:val="00EF7442"/>
    <w:rsid w:val="00F00B42"/>
    <w:rsid w:val="00F01BDE"/>
    <w:rsid w:val="00F04423"/>
    <w:rsid w:val="00F04F22"/>
    <w:rsid w:val="00F050D3"/>
    <w:rsid w:val="00F11BB5"/>
    <w:rsid w:val="00F11DFE"/>
    <w:rsid w:val="00F1417B"/>
    <w:rsid w:val="00F1584B"/>
    <w:rsid w:val="00F17BF1"/>
    <w:rsid w:val="00F21472"/>
    <w:rsid w:val="00F27207"/>
    <w:rsid w:val="00F34B99"/>
    <w:rsid w:val="00F352E6"/>
    <w:rsid w:val="00F37D1E"/>
    <w:rsid w:val="00F42AFB"/>
    <w:rsid w:val="00F439AC"/>
    <w:rsid w:val="00F45E8C"/>
    <w:rsid w:val="00F47D8B"/>
    <w:rsid w:val="00F52DAB"/>
    <w:rsid w:val="00F543C1"/>
    <w:rsid w:val="00F543F0"/>
    <w:rsid w:val="00F55039"/>
    <w:rsid w:val="00F61016"/>
    <w:rsid w:val="00F6573A"/>
    <w:rsid w:val="00F662AC"/>
    <w:rsid w:val="00F71B15"/>
    <w:rsid w:val="00F745B6"/>
    <w:rsid w:val="00F7550A"/>
    <w:rsid w:val="00F76C32"/>
    <w:rsid w:val="00F80343"/>
    <w:rsid w:val="00F81AF6"/>
    <w:rsid w:val="00F81D29"/>
    <w:rsid w:val="00F8423B"/>
    <w:rsid w:val="00F84978"/>
    <w:rsid w:val="00F849F2"/>
    <w:rsid w:val="00F86F6E"/>
    <w:rsid w:val="00F906D1"/>
    <w:rsid w:val="00F91C4D"/>
    <w:rsid w:val="00F92FD9"/>
    <w:rsid w:val="00F932CE"/>
    <w:rsid w:val="00F9678C"/>
    <w:rsid w:val="00FA010B"/>
    <w:rsid w:val="00FA03A0"/>
    <w:rsid w:val="00FA0F7C"/>
    <w:rsid w:val="00FA6684"/>
    <w:rsid w:val="00FA731E"/>
    <w:rsid w:val="00FB10AE"/>
    <w:rsid w:val="00FB1114"/>
    <w:rsid w:val="00FB1580"/>
    <w:rsid w:val="00FB2B38"/>
    <w:rsid w:val="00FB3B1E"/>
    <w:rsid w:val="00FB3BD8"/>
    <w:rsid w:val="00FB56C7"/>
    <w:rsid w:val="00FB5F3B"/>
    <w:rsid w:val="00FB6C10"/>
    <w:rsid w:val="00FB7C60"/>
    <w:rsid w:val="00FC15C0"/>
    <w:rsid w:val="00FC261F"/>
    <w:rsid w:val="00FC44EA"/>
    <w:rsid w:val="00FC6358"/>
    <w:rsid w:val="00FC7C97"/>
    <w:rsid w:val="00FD0712"/>
    <w:rsid w:val="00FD1160"/>
    <w:rsid w:val="00FD12CD"/>
    <w:rsid w:val="00FD2B33"/>
    <w:rsid w:val="00FD320D"/>
    <w:rsid w:val="00FE2121"/>
    <w:rsid w:val="00FE23DE"/>
    <w:rsid w:val="00FE3B55"/>
    <w:rsid w:val="00FE3EBB"/>
    <w:rsid w:val="00FE60EF"/>
    <w:rsid w:val="00FE74EA"/>
    <w:rsid w:val="00FF0BE4"/>
    <w:rsid w:val="00FF10DB"/>
    <w:rsid w:val="00FF5C93"/>
    <w:rsid w:val="013F05E3"/>
    <w:rsid w:val="0177371A"/>
    <w:rsid w:val="02572164"/>
    <w:rsid w:val="027B3405"/>
    <w:rsid w:val="029F0188"/>
    <w:rsid w:val="02D728F9"/>
    <w:rsid w:val="03475019"/>
    <w:rsid w:val="039D30E9"/>
    <w:rsid w:val="0477380C"/>
    <w:rsid w:val="0546166B"/>
    <w:rsid w:val="056A253B"/>
    <w:rsid w:val="06474EC7"/>
    <w:rsid w:val="06D11566"/>
    <w:rsid w:val="075E117B"/>
    <w:rsid w:val="07AC47FD"/>
    <w:rsid w:val="08071AB8"/>
    <w:rsid w:val="080954E3"/>
    <w:rsid w:val="085E581E"/>
    <w:rsid w:val="08AF65E0"/>
    <w:rsid w:val="08BB76E5"/>
    <w:rsid w:val="08C01322"/>
    <w:rsid w:val="08D53DAB"/>
    <w:rsid w:val="08F735FD"/>
    <w:rsid w:val="08FD20F0"/>
    <w:rsid w:val="091D5AAA"/>
    <w:rsid w:val="095838D4"/>
    <w:rsid w:val="0AC47BA1"/>
    <w:rsid w:val="0AC7061A"/>
    <w:rsid w:val="0AD369AB"/>
    <w:rsid w:val="0B0C7CA8"/>
    <w:rsid w:val="0B766C29"/>
    <w:rsid w:val="0B9243F8"/>
    <w:rsid w:val="0BD61F0F"/>
    <w:rsid w:val="0BFE665A"/>
    <w:rsid w:val="0C59227B"/>
    <w:rsid w:val="0C8D441E"/>
    <w:rsid w:val="0C9120B0"/>
    <w:rsid w:val="0D7B7F44"/>
    <w:rsid w:val="0DA72BF4"/>
    <w:rsid w:val="0DC5397A"/>
    <w:rsid w:val="0DED4C4F"/>
    <w:rsid w:val="0DEE7D82"/>
    <w:rsid w:val="0E0D06CF"/>
    <w:rsid w:val="0E3C6031"/>
    <w:rsid w:val="0E3F61C9"/>
    <w:rsid w:val="0E516438"/>
    <w:rsid w:val="0E7336C2"/>
    <w:rsid w:val="0EB57144"/>
    <w:rsid w:val="0EC62C13"/>
    <w:rsid w:val="0F3245A8"/>
    <w:rsid w:val="10211172"/>
    <w:rsid w:val="10284575"/>
    <w:rsid w:val="102F58DD"/>
    <w:rsid w:val="10D22A33"/>
    <w:rsid w:val="10DE5633"/>
    <w:rsid w:val="1136602F"/>
    <w:rsid w:val="11DB0FC4"/>
    <w:rsid w:val="129F0AAB"/>
    <w:rsid w:val="12F96D0F"/>
    <w:rsid w:val="132E597D"/>
    <w:rsid w:val="1368094F"/>
    <w:rsid w:val="138A1B0C"/>
    <w:rsid w:val="13D4705E"/>
    <w:rsid w:val="13DF7D07"/>
    <w:rsid w:val="13F34833"/>
    <w:rsid w:val="14105363"/>
    <w:rsid w:val="142B3F85"/>
    <w:rsid w:val="14455093"/>
    <w:rsid w:val="144B1FF2"/>
    <w:rsid w:val="157B3993"/>
    <w:rsid w:val="15933A4C"/>
    <w:rsid w:val="15E30F51"/>
    <w:rsid w:val="163D3D46"/>
    <w:rsid w:val="166F68FA"/>
    <w:rsid w:val="16730C17"/>
    <w:rsid w:val="16A53CE3"/>
    <w:rsid w:val="17070214"/>
    <w:rsid w:val="177A7511"/>
    <w:rsid w:val="184E1E31"/>
    <w:rsid w:val="19457D97"/>
    <w:rsid w:val="19731502"/>
    <w:rsid w:val="199A2684"/>
    <w:rsid w:val="19CF2E49"/>
    <w:rsid w:val="1A25246C"/>
    <w:rsid w:val="1A292549"/>
    <w:rsid w:val="1A425924"/>
    <w:rsid w:val="1A8277A3"/>
    <w:rsid w:val="1A8A6D1C"/>
    <w:rsid w:val="1A8B42D0"/>
    <w:rsid w:val="1B560B48"/>
    <w:rsid w:val="1B9F57B9"/>
    <w:rsid w:val="1BB231A2"/>
    <w:rsid w:val="1BD21F4C"/>
    <w:rsid w:val="1BEC728D"/>
    <w:rsid w:val="1BFA3E61"/>
    <w:rsid w:val="1C4C44CB"/>
    <w:rsid w:val="1C7F0105"/>
    <w:rsid w:val="1CAD25DC"/>
    <w:rsid w:val="1CF34932"/>
    <w:rsid w:val="1CFB40AF"/>
    <w:rsid w:val="1D044409"/>
    <w:rsid w:val="1D347469"/>
    <w:rsid w:val="1D4C10A1"/>
    <w:rsid w:val="1D581D5A"/>
    <w:rsid w:val="1D804B4B"/>
    <w:rsid w:val="1D9B7480"/>
    <w:rsid w:val="1DA70CAE"/>
    <w:rsid w:val="1DE84208"/>
    <w:rsid w:val="1E6E3E10"/>
    <w:rsid w:val="1EA83D08"/>
    <w:rsid w:val="1ECC63BF"/>
    <w:rsid w:val="1ED46173"/>
    <w:rsid w:val="1EE763BA"/>
    <w:rsid w:val="202111E6"/>
    <w:rsid w:val="203B0B57"/>
    <w:rsid w:val="208903CA"/>
    <w:rsid w:val="20AC1224"/>
    <w:rsid w:val="20B0289F"/>
    <w:rsid w:val="20CA7823"/>
    <w:rsid w:val="20D175FB"/>
    <w:rsid w:val="214D54E6"/>
    <w:rsid w:val="21904B03"/>
    <w:rsid w:val="21A041B0"/>
    <w:rsid w:val="21A0733E"/>
    <w:rsid w:val="21CE7104"/>
    <w:rsid w:val="21EF49C5"/>
    <w:rsid w:val="221E3A8A"/>
    <w:rsid w:val="223C5CBE"/>
    <w:rsid w:val="22CB0644"/>
    <w:rsid w:val="22E54E58"/>
    <w:rsid w:val="239406CE"/>
    <w:rsid w:val="23AF4CEF"/>
    <w:rsid w:val="23D6601E"/>
    <w:rsid w:val="23DA210D"/>
    <w:rsid w:val="242B3AD4"/>
    <w:rsid w:val="246C6C5A"/>
    <w:rsid w:val="24874166"/>
    <w:rsid w:val="24C54F61"/>
    <w:rsid w:val="24FA067F"/>
    <w:rsid w:val="2529397B"/>
    <w:rsid w:val="25A01058"/>
    <w:rsid w:val="25E560F9"/>
    <w:rsid w:val="25E56A81"/>
    <w:rsid w:val="26095CBD"/>
    <w:rsid w:val="260B4CDA"/>
    <w:rsid w:val="261C2226"/>
    <w:rsid w:val="26E02338"/>
    <w:rsid w:val="26FF2C03"/>
    <w:rsid w:val="27514EAE"/>
    <w:rsid w:val="27AB2FE3"/>
    <w:rsid w:val="27AF39A0"/>
    <w:rsid w:val="280007BB"/>
    <w:rsid w:val="281758B4"/>
    <w:rsid w:val="284720AD"/>
    <w:rsid w:val="28684B12"/>
    <w:rsid w:val="286F11A4"/>
    <w:rsid w:val="28C40A63"/>
    <w:rsid w:val="290A7E0D"/>
    <w:rsid w:val="2934525E"/>
    <w:rsid w:val="29697686"/>
    <w:rsid w:val="298841DF"/>
    <w:rsid w:val="298E03D4"/>
    <w:rsid w:val="29BB6295"/>
    <w:rsid w:val="29C84C31"/>
    <w:rsid w:val="29F523C5"/>
    <w:rsid w:val="2A9E191C"/>
    <w:rsid w:val="2ACB2205"/>
    <w:rsid w:val="2B202083"/>
    <w:rsid w:val="2B6A5CA2"/>
    <w:rsid w:val="2BB53268"/>
    <w:rsid w:val="2BD00D95"/>
    <w:rsid w:val="2C15405A"/>
    <w:rsid w:val="2C2C06FC"/>
    <w:rsid w:val="2C7575A6"/>
    <w:rsid w:val="2C853D2A"/>
    <w:rsid w:val="2CC06594"/>
    <w:rsid w:val="2D65778C"/>
    <w:rsid w:val="2D72744F"/>
    <w:rsid w:val="2DB67313"/>
    <w:rsid w:val="2DEB4205"/>
    <w:rsid w:val="2DFE34D6"/>
    <w:rsid w:val="2E0367A0"/>
    <w:rsid w:val="2E1F5287"/>
    <w:rsid w:val="2F2073EA"/>
    <w:rsid w:val="2F26698B"/>
    <w:rsid w:val="2FA80B82"/>
    <w:rsid w:val="2FB267B0"/>
    <w:rsid w:val="2FC97744"/>
    <w:rsid w:val="302E2888"/>
    <w:rsid w:val="30655B3A"/>
    <w:rsid w:val="31365A77"/>
    <w:rsid w:val="317375C0"/>
    <w:rsid w:val="319625AB"/>
    <w:rsid w:val="31CC68A0"/>
    <w:rsid w:val="33E157A4"/>
    <w:rsid w:val="35364AF6"/>
    <w:rsid w:val="357E5A8D"/>
    <w:rsid w:val="35B0149E"/>
    <w:rsid w:val="367049D4"/>
    <w:rsid w:val="37366BA9"/>
    <w:rsid w:val="37FE21CF"/>
    <w:rsid w:val="38AB363A"/>
    <w:rsid w:val="39397357"/>
    <w:rsid w:val="398B5177"/>
    <w:rsid w:val="39A0679E"/>
    <w:rsid w:val="39A531D2"/>
    <w:rsid w:val="3A1B154C"/>
    <w:rsid w:val="3AED1F14"/>
    <w:rsid w:val="3B2A0FAA"/>
    <w:rsid w:val="3BA53157"/>
    <w:rsid w:val="3CE94711"/>
    <w:rsid w:val="3D9467A2"/>
    <w:rsid w:val="3F5D39F2"/>
    <w:rsid w:val="401D6F4B"/>
    <w:rsid w:val="40361396"/>
    <w:rsid w:val="40595A2D"/>
    <w:rsid w:val="4081040C"/>
    <w:rsid w:val="408C763A"/>
    <w:rsid w:val="40EF478A"/>
    <w:rsid w:val="41A26EF5"/>
    <w:rsid w:val="41E24B29"/>
    <w:rsid w:val="41E46835"/>
    <w:rsid w:val="422C7225"/>
    <w:rsid w:val="43002B5A"/>
    <w:rsid w:val="43435FD3"/>
    <w:rsid w:val="438C7FB1"/>
    <w:rsid w:val="444528D0"/>
    <w:rsid w:val="44AE1C44"/>
    <w:rsid w:val="45027A5A"/>
    <w:rsid w:val="45C56A7E"/>
    <w:rsid w:val="45E8574C"/>
    <w:rsid w:val="45F70112"/>
    <w:rsid w:val="46614400"/>
    <w:rsid w:val="468A79C8"/>
    <w:rsid w:val="46FB0DD6"/>
    <w:rsid w:val="476C72E7"/>
    <w:rsid w:val="482144D9"/>
    <w:rsid w:val="48BD61DE"/>
    <w:rsid w:val="48EF42B7"/>
    <w:rsid w:val="49116553"/>
    <w:rsid w:val="4927377A"/>
    <w:rsid w:val="49523147"/>
    <w:rsid w:val="49C857C2"/>
    <w:rsid w:val="4A103D20"/>
    <w:rsid w:val="4A15327E"/>
    <w:rsid w:val="4A1732E9"/>
    <w:rsid w:val="4AA82755"/>
    <w:rsid w:val="4AAF6CA4"/>
    <w:rsid w:val="4B347361"/>
    <w:rsid w:val="4BF35639"/>
    <w:rsid w:val="4C333C3E"/>
    <w:rsid w:val="4C93332D"/>
    <w:rsid w:val="4D9B55FB"/>
    <w:rsid w:val="4DFC1E73"/>
    <w:rsid w:val="4E7042BE"/>
    <w:rsid w:val="4E7C3E9D"/>
    <w:rsid w:val="4EF503A8"/>
    <w:rsid w:val="4F406E26"/>
    <w:rsid w:val="4F570BB0"/>
    <w:rsid w:val="4F947137"/>
    <w:rsid w:val="4FDD7DAC"/>
    <w:rsid w:val="4FE20C9C"/>
    <w:rsid w:val="501938F8"/>
    <w:rsid w:val="50346A8E"/>
    <w:rsid w:val="50502589"/>
    <w:rsid w:val="50DB71A0"/>
    <w:rsid w:val="51214381"/>
    <w:rsid w:val="519037C9"/>
    <w:rsid w:val="519A3CD2"/>
    <w:rsid w:val="51C80FF9"/>
    <w:rsid w:val="51CB67DA"/>
    <w:rsid w:val="51FC33E9"/>
    <w:rsid w:val="521825B3"/>
    <w:rsid w:val="521F558F"/>
    <w:rsid w:val="526A3A5C"/>
    <w:rsid w:val="52892932"/>
    <w:rsid w:val="52CD73F0"/>
    <w:rsid w:val="5309279C"/>
    <w:rsid w:val="5375598F"/>
    <w:rsid w:val="538D5AA7"/>
    <w:rsid w:val="53DC5E68"/>
    <w:rsid w:val="549E7AD9"/>
    <w:rsid w:val="55036F3C"/>
    <w:rsid w:val="555F4CF7"/>
    <w:rsid w:val="55F3138F"/>
    <w:rsid w:val="56B562E8"/>
    <w:rsid w:val="56BB2FDE"/>
    <w:rsid w:val="56BD178C"/>
    <w:rsid w:val="56DA6C3D"/>
    <w:rsid w:val="56F15266"/>
    <w:rsid w:val="579D5B8F"/>
    <w:rsid w:val="57AA675D"/>
    <w:rsid w:val="57EB1AEB"/>
    <w:rsid w:val="58F50230"/>
    <w:rsid w:val="591836DC"/>
    <w:rsid w:val="59952EBE"/>
    <w:rsid w:val="5A637CCC"/>
    <w:rsid w:val="5AEB674B"/>
    <w:rsid w:val="5BF608F2"/>
    <w:rsid w:val="5C071FE7"/>
    <w:rsid w:val="5C257AF5"/>
    <w:rsid w:val="5C3B2FD2"/>
    <w:rsid w:val="5C444997"/>
    <w:rsid w:val="5C5146B2"/>
    <w:rsid w:val="5C59068B"/>
    <w:rsid w:val="5CD327BD"/>
    <w:rsid w:val="5CD9150F"/>
    <w:rsid w:val="5CFE0215"/>
    <w:rsid w:val="5D5C23B7"/>
    <w:rsid w:val="5D904DEC"/>
    <w:rsid w:val="5DE51295"/>
    <w:rsid w:val="5E543C2C"/>
    <w:rsid w:val="5F1015DE"/>
    <w:rsid w:val="5F452BFB"/>
    <w:rsid w:val="5FC92A72"/>
    <w:rsid w:val="601D45CE"/>
    <w:rsid w:val="6032745C"/>
    <w:rsid w:val="60624485"/>
    <w:rsid w:val="60966715"/>
    <w:rsid w:val="60C73EA2"/>
    <w:rsid w:val="60E65668"/>
    <w:rsid w:val="61447635"/>
    <w:rsid w:val="61BB7437"/>
    <w:rsid w:val="61BC5DC9"/>
    <w:rsid w:val="61DB29D6"/>
    <w:rsid w:val="61F73497"/>
    <w:rsid w:val="634636A6"/>
    <w:rsid w:val="63527D96"/>
    <w:rsid w:val="63A129E2"/>
    <w:rsid w:val="63F521BA"/>
    <w:rsid w:val="63F867AC"/>
    <w:rsid w:val="64DB22AE"/>
    <w:rsid w:val="64F71D5D"/>
    <w:rsid w:val="657F7AF1"/>
    <w:rsid w:val="65CD3EAB"/>
    <w:rsid w:val="667F716A"/>
    <w:rsid w:val="668F0428"/>
    <w:rsid w:val="67462059"/>
    <w:rsid w:val="67532761"/>
    <w:rsid w:val="67671960"/>
    <w:rsid w:val="677105E8"/>
    <w:rsid w:val="67796EE5"/>
    <w:rsid w:val="67960B85"/>
    <w:rsid w:val="67CE17D6"/>
    <w:rsid w:val="68936B38"/>
    <w:rsid w:val="689725E8"/>
    <w:rsid w:val="689C2A72"/>
    <w:rsid w:val="68C07DCE"/>
    <w:rsid w:val="68C36942"/>
    <w:rsid w:val="68E6619B"/>
    <w:rsid w:val="6A302A39"/>
    <w:rsid w:val="6A5529A3"/>
    <w:rsid w:val="6ACB48E5"/>
    <w:rsid w:val="6B352DA3"/>
    <w:rsid w:val="6B5841EA"/>
    <w:rsid w:val="6B932015"/>
    <w:rsid w:val="6BE41E20"/>
    <w:rsid w:val="6BEF108B"/>
    <w:rsid w:val="6C746D77"/>
    <w:rsid w:val="6C7A71C4"/>
    <w:rsid w:val="6C98475E"/>
    <w:rsid w:val="6CB04449"/>
    <w:rsid w:val="6CDF7BE2"/>
    <w:rsid w:val="6D211D67"/>
    <w:rsid w:val="6D7251F7"/>
    <w:rsid w:val="6DAD5639"/>
    <w:rsid w:val="6E122B1B"/>
    <w:rsid w:val="6E1947E8"/>
    <w:rsid w:val="6E226C98"/>
    <w:rsid w:val="6E4C0213"/>
    <w:rsid w:val="6E915E11"/>
    <w:rsid w:val="6F1A1738"/>
    <w:rsid w:val="6F2C25D4"/>
    <w:rsid w:val="701A6924"/>
    <w:rsid w:val="705E6FE4"/>
    <w:rsid w:val="707B5EAD"/>
    <w:rsid w:val="709C52BA"/>
    <w:rsid w:val="71967B2E"/>
    <w:rsid w:val="71F72C8D"/>
    <w:rsid w:val="722F6B29"/>
    <w:rsid w:val="725A1317"/>
    <w:rsid w:val="729466AF"/>
    <w:rsid w:val="72BA7CDB"/>
    <w:rsid w:val="72D51E93"/>
    <w:rsid w:val="72D6340F"/>
    <w:rsid w:val="72FE033B"/>
    <w:rsid w:val="73DC1AE8"/>
    <w:rsid w:val="73DC1DDF"/>
    <w:rsid w:val="748F68F3"/>
    <w:rsid w:val="754E5E43"/>
    <w:rsid w:val="756F545D"/>
    <w:rsid w:val="75897819"/>
    <w:rsid w:val="75971191"/>
    <w:rsid w:val="75F814D7"/>
    <w:rsid w:val="76004655"/>
    <w:rsid w:val="76393874"/>
    <w:rsid w:val="76585AFA"/>
    <w:rsid w:val="76695334"/>
    <w:rsid w:val="76CC5E0D"/>
    <w:rsid w:val="77880D8C"/>
    <w:rsid w:val="77A24792"/>
    <w:rsid w:val="780F37AA"/>
    <w:rsid w:val="781647EC"/>
    <w:rsid w:val="789C28EE"/>
    <w:rsid w:val="78F1584D"/>
    <w:rsid w:val="792E44D6"/>
    <w:rsid w:val="799170ED"/>
    <w:rsid w:val="79D62C95"/>
    <w:rsid w:val="79FE19B1"/>
    <w:rsid w:val="7A054E89"/>
    <w:rsid w:val="7A4656CA"/>
    <w:rsid w:val="7A6C5333"/>
    <w:rsid w:val="7A700EEB"/>
    <w:rsid w:val="7B60260A"/>
    <w:rsid w:val="7B870D7C"/>
    <w:rsid w:val="7C26317C"/>
    <w:rsid w:val="7C4D4DE5"/>
    <w:rsid w:val="7C840E24"/>
    <w:rsid w:val="7CE81348"/>
    <w:rsid w:val="7CF02905"/>
    <w:rsid w:val="7CF312CB"/>
    <w:rsid w:val="7D6F7ADA"/>
    <w:rsid w:val="7D7140EB"/>
    <w:rsid w:val="7E8C5F5E"/>
    <w:rsid w:val="7EAE290D"/>
    <w:rsid w:val="7F741D80"/>
    <w:rsid w:val="7FF56E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3"/>
    <w:basedOn w:val="1"/>
    <w:next w:val="1"/>
    <w:qFormat/>
    <w:uiPriority w:val="0"/>
    <w:pPr>
      <w:jc w:val="left"/>
      <w:outlineLvl w:val="2"/>
    </w:pPr>
    <w:rPr>
      <w:rFonts w:hint="eastAsia" w:ascii="宋体" w:hAnsi="宋体"/>
      <w:b/>
      <w:kern w:val="0"/>
      <w:sz w:val="2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2"/>
      </w:tabs>
      <w:ind w:firstLine="1050"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qFormat/>
    <w:uiPriority w:val="0"/>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w:basedOn w:val="1"/>
    <w:link w:val="154"/>
    <w:unhideWhenUsed/>
    <w:qFormat/>
    <w:uiPriority w:val="99"/>
    <w:pPr>
      <w:spacing w:before="100" w:beforeAutospacing="1" w:after="120"/>
    </w:pPr>
    <w:rPr>
      <w:szCs w:val="21"/>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2"/>
      </w:tabs>
      <w:ind w:firstLine="630" w:firstLineChars="300"/>
      <w:jc w:val="left"/>
    </w:pPr>
    <w:rPr>
      <w:rFonts w:ascii="宋体"/>
      <w:szCs w:val="21"/>
    </w:rPr>
  </w:style>
  <w:style w:type="paragraph" w:styleId="14">
    <w:name w:val="toc 3"/>
    <w:basedOn w:val="1"/>
    <w:next w:val="1"/>
    <w:semiHidden/>
    <w:qFormat/>
    <w:uiPriority w:val="0"/>
    <w:pPr>
      <w:tabs>
        <w:tab w:val="right" w:leader="dot" w:pos="9242"/>
      </w:tabs>
      <w:ind w:firstLine="210" w:firstLineChars="100"/>
      <w:jc w:val="left"/>
    </w:pPr>
    <w:rPr>
      <w:rFonts w:ascii="宋体"/>
      <w:szCs w:val="21"/>
    </w:rPr>
  </w:style>
  <w:style w:type="paragraph" w:styleId="15">
    <w:name w:val="toc 8"/>
    <w:basedOn w:val="1"/>
    <w:next w:val="1"/>
    <w:semiHidden/>
    <w:qFormat/>
    <w:uiPriority w:val="0"/>
    <w:pPr>
      <w:tabs>
        <w:tab w:val="right" w:leader="dot" w:pos="9242"/>
      </w:tabs>
      <w:ind w:firstLine="1260"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54"/>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2"/>
      </w:tabs>
      <w:spacing w:beforeLines="25" w:afterLines="25"/>
      <w:jc w:val="left"/>
    </w:pPr>
    <w:rPr>
      <w:rFonts w:ascii="宋体"/>
      <w:szCs w:val="21"/>
    </w:rPr>
  </w:style>
  <w:style w:type="paragraph" w:styleId="22">
    <w:name w:val="toc 4"/>
    <w:basedOn w:val="1"/>
    <w:next w:val="1"/>
    <w:semiHidden/>
    <w:qFormat/>
    <w:uiPriority w:val="0"/>
    <w:pPr>
      <w:tabs>
        <w:tab w:val="right" w:leader="dot" w:pos="9242"/>
      </w:tabs>
      <w:ind w:firstLine="42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5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2"/>
      </w:tabs>
      <w:ind w:firstLine="84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2"/>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Normal (Web)"/>
    <w:basedOn w:val="1"/>
    <w:unhideWhenUsed/>
    <w:qFormat/>
    <w:uiPriority w:val="0"/>
    <w:rPr>
      <w:sz w:val="24"/>
    </w:rPr>
  </w:style>
  <w:style w:type="paragraph" w:styleId="33">
    <w:name w:val="index 2"/>
    <w:basedOn w:val="1"/>
    <w:next w:val="1"/>
    <w:qFormat/>
    <w:uiPriority w:val="0"/>
    <w:pPr>
      <w:ind w:left="420" w:hanging="210"/>
      <w:jc w:val="left"/>
    </w:pPr>
    <w:rPr>
      <w:rFonts w:ascii="Calibri" w:hAnsi="Calibri"/>
      <w:sz w:val="20"/>
      <w:szCs w:val="20"/>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qFormat/>
    <w:uiPriority w:val="0"/>
    <w:rPr>
      <w:b/>
      <w:sz w:val="24"/>
      <w:szCs w:val="24"/>
    </w:rPr>
  </w:style>
  <w:style w:type="character" w:styleId="38">
    <w:name w:val="endnote reference"/>
    <w:semiHidden/>
    <w:qFormat/>
    <w:uiPriority w:val="0"/>
    <w:rPr>
      <w:vertAlign w:val="superscript"/>
    </w:rPr>
  </w:style>
  <w:style w:type="character" w:styleId="39">
    <w:name w:val="page number"/>
    <w:basedOn w:val="36"/>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Emphasis"/>
    <w:qFormat/>
    <w:uiPriority w:val="0"/>
    <w:rPr>
      <w:color w:val="CC0000"/>
      <w:sz w:val="24"/>
      <w:szCs w:val="24"/>
    </w:rPr>
  </w:style>
  <w:style w:type="character" w:styleId="42">
    <w:name w:val="Hyperlink"/>
    <w:qFormat/>
    <w:uiPriority w:val="99"/>
    <w:rPr>
      <w:color w:val="0000FF"/>
      <w:spacing w:val="0"/>
      <w:w w:val="100"/>
      <w:szCs w:val="21"/>
      <w:u w:val="single"/>
      <w:lang w:val="en-US" w:eastAsia="zh-CN"/>
    </w:rPr>
  </w:style>
  <w:style w:type="character" w:styleId="43">
    <w:name w:val="annotation reference"/>
    <w:qFormat/>
    <w:uiPriority w:val="0"/>
    <w:rPr>
      <w:sz w:val="21"/>
      <w:szCs w:val="21"/>
    </w:rPr>
  </w:style>
  <w:style w:type="character" w:styleId="44">
    <w:name w:val="HTML Cite"/>
    <w:qFormat/>
    <w:uiPriority w:val="0"/>
    <w:rPr>
      <w:sz w:val="24"/>
      <w:szCs w:val="24"/>
    </w:rPr>
  </w:style>
  <w:style w:type="character" w:styleId="45">
    <w:name w:val="footnote reference"/>
    <w:semiHidden/>
    <w:qFormat/>
    <w:uiPriority w:val="0"/>
    <w:rPr>
      <w:vertAlign w:val="superscript"/>
    </w:rPr>
  </w:style>
  <w:style w:type="character" w:customStyle="1" w:styleId="46">
    <w:name w:val="font11"/>
    <w:qFormat/>
    <w:uiPriority w:val="0"/>
    <w:rPr>
      <w:rFonts w:hint="default" w:ascii="Times New Roman" w:hAnsi="Times New Roman" w:cs="Times New Roman"/>
      <w:b/>
      <w:color w:val="000000"/>
      <w:sz w:val="24"/>
      <w:szCs w:val="24"/>
      <w:u w:val="none"/>
    </w:rPr>
  </w:style>
  <w:style w:type="character" w:customStyle="1" w:styleId="47">
    <w:name w:val="首示例 Char"/>
    <w:link w:val="48"/>
    <w:qFormat/>
    <w:uiPriority w:val="0"/>
    <w:rPr>
      <w:rFonts w:ascii="宋体" w:hAnsi="宋体"/>
      <w:kern w:val="2"/>
      <w:sz w:val="18"/>
      <w:szCs w:val="18"/>
      <w:lang w:val="en-US" w:eastAsia="zh-CN" w:bidi="ar-SA"/>
    </w:rPr>
  </w:style>
  <w:style w:type="paragraph" w:customStyle="1" w:styleId="48">
    <w:name w:val="首示例"/>
    <w:next w:val="25"/>
    <w:link w:val="47"/>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9">
    <w:name w:val="附录公式 Char"/>
    <w:link w:val="50"/>
    <w:qFormat/>
    <w:uiPriority w:val="0"/>
    <w:rPr>
      <w:rFonts w:ascii="宋体"/>
      <w:sz w:val="21"/>
      <w:lang w:val="en-US" w:eastAsia="zh-CN" w:bidi="ar-SA"/>
    </w:rPr>
  </w:style>
  <w:style w:type="paragraph" w:customStyle="1" w:styleId="50">
    <w:name w:val="附录公式"/>
    <w:basedOn w:val="25"/>
    <w:next w:val="25"/>
    <w:link w:val="49"/>
    <w:qFormat/>
    <w:uiPriority w:val="0"/>
  </w:style>
  <w:style w:type="character" w:customStyle="1" w:styleId="51">
    <w:name w:val="发布"/>
    <w:qFormat/>
    <w:uiPriority w:val="0"/>
    <w:rPr>
      <w:rFonts w:ascii="黑体" w:eastAsia="黑体"/>
      <w:spacing w:val="85"/>
      <w:w w:val="100"/>
      <w:position w:val="3"/>
      <w:sz w:val="28"/>
      <w:szCs w:val="28"/>
    </w:rPr>
  </w:style>
  <w:style w:type="character" w:customStyle="1" w:styleId="52">
    <w:name w:val="章标题 Char"/>
    <w:link w:val="53"/>
    <w:qFormat/>
    <w:uiPriority w:val="0"/>
    <w:rPr>
      <w:rFonts w:ascii="黑体" w:eastAsia="黑体"/>
      <w:sz w:val="21"/>
      <w:lang w:val="en-US" w:eastAsia="zh-CN" w:bidi="ar-SA"/>
    </w:rPr>
  </w:style>
  <w:style w:type="paragraph" w:customStyle="1" w:styleId="53">
    <w:name w:val="章标题"/>
    <w:next w:val="25"/>
    <w:link w:val="5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character" w:customStyle="1" w:styleId="54">
    <w:name w:val="批注框文本 字符"/>
    <w:link w:val="18"/>
    <w:qFormat/>
    <w:uiPriority w:val="0"/>
    <w:rPr>
      <w:kern w:val="2"/>
      <w:sz w:val="18"/>
      <w:szCs w:val="18"/>
    </w:rPr>
  </w:style>
  <w:style w:type="character" w:customStyle="1" w:styleId="55">
    <w:name w:val="font31"/>
    <w:qFormat/>
    <w:uiPriority w:val="0"/>
    <w:rPr>
      <w:rFonts w:hint="default" w:ascii="Times New Roman" w:hAnsi="Times New Roman" w:cs="Times New Roman"/>
      <w:color w:val="000000"/>
      <w:sz w:val="24"/>
      <w:szCs w:val="24"/>
      <w:u w:val="none"/>
    </w:rPr>
  </w:style>
  <w:style w:type="character" w:customStyle="1" w:styleId="56">
    <w:name w:val="font21"/>
    <w:qFormat/>
    <w:uiPriority w:val="0"/>
    <w:rPr>
      <w:rFonts w:hint="eastAsia" w:ascii="宋体" w:hAnsi="宋体" w:eastAsia="宋体" w:cs="宋体"/>
      <w:color w:val="000000"/>
      <w:sz w:val="24"/>
      <w:szCs w:val="24"/>
      <w:u w:val="none"/>
    </w:rPr>
  </w:style>
  <w:style w:type="character" w:customStyle="1" w:styleId="57">
    <w:name w:val="font41"/>
    <w:qFormat/>
    <w:uiPriority w:val="0"/>
    <w:rPr>
      <w:rFonts w:hint="default" w:ascii="Times New Roman" w:hAnsi="Times New Roman" w:cs="Times New Roman"/>
      <w:b/>
      <w:color w:val="000000"/>
      <w:sz w:val="24"/>
      <w:szCs w:val="24"/>
      <w:u w:val="none"/>
    </w:rPr>
  </w:style>
  <w:style w:type="character" w:customStyle="1" w:styleId="58">
    <w:name w:val="段 Char"/>
    <w:link w:val="25"/>
    <w:qFormat/>
    <w:uiPriority w:val="0"/>
    <w:rPr>
      <w:rFonts w:ascii="宋体"/>
      <w:sz w:val="21"/>
      <w:lang w:val="en-US" w:eastAsia="zh-CN" w:bidi="ar-SA"/>
    </w:rPr>
  </w:style>
  <w:style w:type="character" w:customStyle="1" w:styleId="59">
    <w:name w:val="font81"/>
    <w:qFormat/>
    <w:uiPriority w:val="0"/>
    <w:rPr>
      <w:rFonts w:hint="eastAsia" w:ascii="宋体" w:hAnsi="宋体" w:eastAsia="宋体" w:cs="宋体"/>
      <w:color w:val="000000"/>
      <w:sz w:val="22"/>
      <w:szCs w:val="22"/>
      <w:u w:val="none"/>
    </w:rPr>
  </w:style>
  <w:style w:type="character" w:customStyle="1" w:styleId="60">
    <w:name w:val="font51"/>
    <w:qFormat/>
    <w:uiPriority w:val="0"/>
    <w:rPr>
      <w:rFonts w:hint="eastAsia" w:ascii="宋体" w:hAnsi="宋体" w:eastAsia="宋体" w:cs="宋体"/>
      <w:b/>
      <w:color w:val="000000"/>
      <w:sz w:val="24"/>
      <w:szCs w:val="24"/>
      <w:u w:val="none"/>
    </w:rPr>
  </w:style>
  <w:style w:type="character" w:customStyle="1" w:styleId="61">
    <w:name w:val="一级条标题 Char"/>
    <w:link w:val="62"/>
    <w:qFormat/>
    <w:uiPriority w:val="0"/>
    <w:rPr>
      <w:rFonts w:ascii="黑体" w:eastAsia="黑体"/>
      <w:sz w:val="21"/>
      <w:szCs w:val="21"/>
    </w:rPr>
  </w:style>
  <w:style w:type="paragraph" w:customStyle="1" w:styleId="62">
    <w:name w:val="一级条标题"/>
    <w:next w:val="25"/>
    <w:link w:val="61"/>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6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64">
    <w:name w:val="附录四级条标题"/>
    <w:basedOn w:val="65"/>
    <w:next w:val="25"/>
    <w:qFormat/>
    <w:uiPriority w:val="0"/>
    <w:pPr>
      <w:tabs>
        <w:tab w:val="left" w:pos="360"/>
      </w:tabs>
      <w:outlineLvl w:val="5"/>
    </w:pPr>
  </w:style>
  <w:style w:type="paragraph" w:customStyle="1" w:styleId="65">
    <w:name w:val="附录三级条标题"/>
    <w:basedOn w:val="66"/>
    <w:next w:val="25"/>
    <w:qFormat/>
    <w:uiPriority w:val="0"/>
    <w:pPr>
      <w:tabs>
        <w:tab w:val="left" w:pos="360"/>
      </w:tabs>
      <w:outlineLvl w:val="4"/>
    </w:pPr>
  </w:style>
  <w:style w:type="paragraph" w:customStyle="1" w:styleId="66">
    <w:name w:val="附录二级条标题"/>
    <w:basedOn w:val="1"/>
    <w:next w:val="25"/>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7">
    <w:name w:val="示例后文字"/>
    <w:basedOn w:val="25"/>
    <w:next w:val="25"/>
    <w:qFormat/>
    <w:uiPriority w:val="0"/>
    <w:pPr>
      <w:ind w:firstLine="360"/>
    </w:pPr>
    <w:rPr>
      <w:sz w:val="18"/>
    </w:rPr>
  </w:style>
  <w:style w:type="paragraph" w:customStyle="1" w:styleId="68">
    <w:name w:val="正文图标题"/>
    <w:next w:val="25"/>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9">
    <w:name w:val="终结线"/>
    <w:basedOn w:val="1"/>
    <w:qFormat/>
    <w:uiPriority w:val="0"/>
    <w:pPr>
      <w:framePr w:hSpace="181" w:vSpace="181" w:wrap="around" w:vAnchor="text" w:hAnchor="margin" w:xAlign="center" w:y="285"/>
    </w:pPr>
  </w:style>
  <w:style w:type="paragraph" w:customStyle="1" w:styleId="70">
    <w:name w:val="附录五级条标题"/>
    <w:basedOn w:val="64"/>
    <w:next w:val="25"/>
    <w:qFormat/>
    <w:uiPriority w:val="0"/>
    <w:pPr>
      <w:outlineLvl w:val="6"/>
    </w:pPr>
  </w:style>
  <w:style w:type="paragraph" w:customStyle="1" w:styleId="71">
    <w:name w:val="标准书眉一"/>
    <w:qFormat/>
    <w:uiPriority w:val="0"/>
    <w:pPr>
      <w:jc w:val="both"/>
    </w:pPr>
    <w:rPr>
      <w:rFonts w:ascii="Times New Roman" w:hAnsi="Times New Roman" w:eastAsia="宋体" w:cs="Times New Roman"/>
      <w:lang w:val="en-US" w:eastAsia="zh-CN" w:bidi="ar-SA"/>
    </w:rPr>
  </w:style>
  <w:style w:type="paragraph" w:customStyle="1" w:styleId="72">
    <w:name w:val="附录标题"/>
    <w:basedOn w:val="25"/>
    <w:next w:val="25"/>
    <w:qFormat/>
    <w:uiPriority w:val="0"/>
    <w:pPr>
      <w:ind w:firstLine="0" w:firstLineChars="0"/>
      <w:jc w:val="center"/>
    </w:pPr>
    <w:rPr>
      <w:rFonts w:ascii="黑体" w:eastAsia="黑体"/>
    </w:rPr>
  </w:style>
  <w:style w:type="paragraph" w:customStyle="1" w:styleId="73">
    <w:name w:val="附录章标题"/>
    <w:next w:val="25"/>
    <w:qFormat/>
    <w:uiPriority w:val="0"/>
    <w:pPr>
      <w:numPr>
        <w:ilvl w:val="1"/>
        <w:numId w:val="5"/>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二级条标题"/>
    <w:basedOn w:val="62"/>
    <w:next w:val="25"/>
    <w:qFormat/>
    <w:uiPriority w:val="0"/>
    <w:pPr>
      <w:numPr>
        <w:ilvl w:val="2"/>
        <w:numId w:val="6"/>
      </w:numPr>
      <w:spacing w:before="50" w:after="50"/>
      <w:outlineLvl w:val="3"/>
    </w:pPr>
  </w:style>
  <w:style w:type="paragraph" w:customStyle="1" w:styleId="76">
    <w:name w:val="三级条标题"/>
    <w:basedOn w:val="75"/>
    <w:next w:val="25"/>
    <w:qFormat/>
    <w:uiPriority w:val="0"/>
    <w:pPr>
      <w:numPr>
        <w:ilvl w:val="3"/>
      </w:numPr>
      <w:outlineLvl w:val="4"/>
    </w:pPr>
  </w:style>
  <w:style w:type="paragraph" w:customStyle="1" w:styleId="77">
    <w:name w:val="封面标准文稿编辑信息"/>
    <w:basedOn w:val="78"/>
    <w:qFormat/>
    <w:uiPriority w:val="0"/>
    <w:pPr>
      <w:framePr w:wrap="around"/>
      <w:spacing w:before="180" w:line="180" w:lineRule="exact"/>
    </w:pPr>
    <w:rPr>
      <w:sz w:val="21"/>
    </w:rPr>
  </w:style>
  <w:style w:type="paragraph" w:customStyle="1" w:styleId="78">
    <w:name w:val="封面标准文稿类别"/>
    <w:basedOn w:val="79"/>
    <w:qFormat/>
    <w:uiPriority w:val="0"/>
    <w:pPr>
      <w:framePr w:wrap="around"/>
      <w:spacing w:after="160" w:line="240" w:lineRule="auto"/>
    </w:pPr>
    <w:rPr>
      <w:sz w:val="24"/>
    </w:rPr>
  </w:style>
  <w:style w:type="paragraph" w:customStyle="1" w:styleId="79">
    <w:name w:val="封面一致性程度标识"/>
    <w:basedOn w:val="80"/>
    <w:qFormat/>
    <w:uiPriority w:val="0"/>
    <w:pPr>
      <w:framePr w:wrap="around"/>
      <w:spacing w:before="440"/>
    </w:pPr>
    <w:rPr>
      <w:rFonts w:ascii="宋体" w:eastAsia="宋体"/>
    </w:rPr>
  </w:style>
  <w:style w:type="paragraph" w:customStyle="1" w:styleId="80">
    <w:name w:val="封面标准英文名称"/>
    <w:basedOn w:val="81"/>
    <w:qFormat/>
    <w:uiPriority w:val="0"/>
    <w:pPr>
      <w:framePr w:wrap="around"/>
      <w:spacing w:before="370" w:line="400" w:lineRule="exact"/>
    </w:pPr>
    <w:rPr>
      <w:rFonts w:ascii="Times New Roman"/>
      <w:sz w:val="28"/>
      <w:szCs w:val="28"/>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一级无"/>
    <w:basedOn w:val="62"/>
    <w:qFormat/>
    <w:uiPriority w:val="0"/>
    <w:pPr>
      <w:spacing w:beforeLines="0" w:afterLines="0"/>
    </w:pPr>
    <w:rPr>
      <w:rFonts w:ascii="宋体" w:eastAsia="宋体"/>
    </w:rPr>
  </w:style>
  <w:style w:type="paragraph" w:customStyle="1" w:styleId="83">
    <w:name w:val="图标脚注说明"/>
    <w:basedOn w:val="25"/>
    <w:qFormat/>
    <w:uiPriority w:val="0"/>
    <w:pPr>
      <w:ind w:left="840" w:hanging="420" w:firstLineChars="0"/>
    </w:pPr>
    <w:rPr>
      <w:sz w:val="18"/>
      <w:szCs w:val="18"/>
    </w:rPr>
  </w:style>
  <w:style w:type="paragraph" w:customStyle="1" w:styleId="84">
    <w:name w:val="实施日期"/>
    <w:basedOn w:val="74"/>
    <w:qFormat/>
    <w:uiPriority w:val="0"/>
    <w:pPr>
      <w:framePr w:wrap="around" w:vAnchor="page" w:hAnchor="text"/>
      <w:jc w:val="right"/>
    </w:pPr>
  </w:style>
  <w:style w:type="paragraph" w:customStyle="1" w:styleId="85">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86">
    <w:name w:val="附录数字编号列项（二级）"/>
    <w:qFormat/>
    <w:uiPriority w:val="0"/>
    <w:pPr>
      <w:numPr>
        <w:ilvl w:val="1"/>
        <w:numId w:val="7"/>
      </w:numPr>
    </w:pPr>
    <w:rPr>
      <w:rFonts w:ascii="宋体" w:hAnsi="Times New Roman" w:eastAsia="宋体" w:cs="Times New Roman"/>
      <w:sz w:val="21"/>
      <w:lang w:val="en-US" w:eastAsia="zh-CN" w:bidi="ar-SA"/>
    </w:rPr>
  </w:style>
  <w:style w:type="paragraph" w:customStyle="1" w:styleId="87">
    <w:name w:val="示例×："/>
    <w:basedOn w:val="53"/>
    <w:qFormat/>
    <w:uiPriority w:val="0"/>
    <w:pPr>
      <w:numPr>
        <w:numId w:val="8"/>
      </w:numPr>
      <w:spacing w:beforeLines="0" w:afterLines="0"/>
      <w:outlineLvl w:val="9"/>
    </w:pPr>
    <w:rPr>
      <w:rFonts w:ascii="宋体" w:eastAsia="宋体"/>
      <w:sz w:val="18"/>
      <w:szCs w:val="18"/>
    </w:rPr>
  </w:style>
  <w:style w:type="paragraph" w:customStyle="1" w:styleId="8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0">
    <w:name w:val="封面标准文稿编辑信息2"/>
    <w:basedOn w:val="77"/>
    <w:qFormat/>
    <w:uiPriority w:val="0"/>
    <w:pPr>
      <w:framePr w:wrap="around" w:y="4469"/>
    </w:pPr>
  </w:style>
  <w:style w:type="paragraph" w:customStyle="1" w:styleId="91">
    <w:name w:val="三级无"/>
    <w:basedOn w:val="76"/>
    <w:qFormat/>
    <w:uiPriority w:val="0"/>
    <w:pPr>
      <w:spacing w:beforeLines="0" w:afterLines="0"/>
    </w:pPr>
    <w:rPr>
      <w:rFonts w:ascii="宋体" w:eastAsia="宋体"/>
    </w:rPr>
  </w:style>
  <w:style w:type="paragraph" w:customStyle="1" w:styleId="92">
    <w:name w:val="封面一致性程度标识2"/>
    <w:basedOn w:val="79"/>
    <w:qFormat/>
    <w:uiPriority w:val="0"/>
    <w:pPr>
      <w:framePr w:wrap="around" w:y="4469"/>
    </w:pPr>
  </w:style>
  <w:style w:type="paragraph" w:customStyle="1" w:styleId="93">
    <w:name w:val="正文公式编号制表符"/>
    <w:basedOn w:val="25"/>
    <w:next w:val="25"/>
    <w:qFormat/>
    <w:uiPriority w:val="0"/>
    <w:pPr>
      <w:ind w:firstLine="0" w:firstLineChars="0"/>
    </w:pPr>
  </w:style>
  <w:style w:type="paragraph" w:customStyle="1" w:styleId="9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
    <w:name w:val="四级条标题"/>
    <w:basedOn w:val="76"/>
    <w:next w:val="25"/>
    <w:qFormat/>
    <w:uiPriority w:val="0"/>
    <w:pPr>
      <w:numPr>
        <w:ilvl w:val="4"/>
      </w:numPr>
      <w:outlineLvl w:val="5"/>
    </w:pPr>
  </w:style>
  <w:style w:type="paragraph" w:customStyle="1" w:styleId="96">
    <w:name w:val="示例"/>
    <w:next w:val="97"/>
    <w:qFormat/>
    <w:uiPriority w:val="0"/>
    <w:pPr>
      <w:widowControl w:val="0"/>
      <w:numPr>
        <w:ilvl w:val="0"/>
        <w:numId w:val="9"/>
      </w:numPr>
      <w:jc w:val="both"/>
    </w:pPr>
    <w:rPr>
      <w:rFonts w:ascii="宋体" w:hAnsi="Times New Roman" w:eastAsia="宋体" w:cs="Times New Roman"/>
      <w:sz w:val="18"/>
      <w:szCs w:val="18"/>
      <w:lang w:val="en-US" w:eastAsia="zh-CN" w:bidi="ar-SA"/>
    </w:rPr>
  </w:style>
  <w:style w:type="paragraph" w:customStyle="1" w:styleId="9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8">
    <w:name w:val="附录五级无"/>
    <w:basedOn w:val="70"/>
    <w:qFormat/>
    <w:uiPriority w:val="0"/>
    <w:pPr>
      <w:spacing w:beforeLines="0" w:afterLines="0"/>
    </w:pPr>
    <w:rPr>
      <w:rFonts w:ascii="宋体" w:eastAsia="宋体"/>
      <w:szCs w:val="21"/>
    </w:rPr>
  </w:style>
  <w:style w:type="paragraph" w:customStyle="1" w:styleId="99">
    <w:name w:val="五级无"/>
    <w:basedOn w:val="100"/>
    <w:qFormat/>
    <w:uiPriority w:val="0"/>
    <w:pPr>
      <w:tabs>
        <w:tab w:val="left" w:pos="0"/>
      </w:tabs>
      <w:spacing w:beforeLines="0" w:afterLines="0"/>
    </w:pPr>
    <w:rPr>
      <w:rFonts w:ascii="宋体" w:eastAsia="宋体"/>
    </w:rPr>
  </w:style>
  <w:style w:type="paragraph" w:customStyle="1" w:styleId="100">
    <w:name w:val="五级条标题"/>
    <w:basedOn w:val="95"/>
    <w:next w:val="25"/>
    <w:qFormat/>
    <w:uiPriority w:val="0"/>
    <w:pPr>
      <w:numPr>
        <w:ilvl w:val="5"/>
      </w:numPr>
      <w:outlineLvl w:val="6"/>
    </w:pPr>
  </w:style>
  <w:style w:type="paragraph" w:customStyle="1" w:styleId="101">
    <w:name w:val="附录字母编号列项（一级）"/>
    <w:qFormat/>
    <w:uiPriority w:val="0"/>
    <w:pPr>
      <w:numPr>
        <w:ilvl w:val="0"/>
        <w:numId w:val="7"/>
      </w:numPr>
    </w:pPr>
    <w:rPr>
      <w:rFonts w:ascii="宋体" w:hAnsi="Times New Roman" w:eastAsia="宋体" w:cs="Times New Roman"/>
      <w:sz w:val="21"/>
      <w:lang w:val="en-US" w:eastAsia="zh-CN" w:bidi="ar-SA"/>
    </w:rPr>
  </w:style>
  <w:style w:type="paragraph" w:customStyle="1" w:styleId="102">
    <w:name w:val="图表脚注说明"/>
    <w:basedOn w:val="1"/>
    <w:qFormat/>
    <w:uiPriority w:val="0"/>
    <w:pPr>
      <w:numPr>
        <w:ilvl w:val="0"/>
        <w:numId w:val="10"/>
      </w:numPr>
    </w:pPr>
    <w:rPr>
      <w:rFonts w:ascii="宋体"/>
      <w:sz w:val="18"/>
      <w:szCs w:val="18"/>
    </w:rPr>
  </w:style>
  <w:style w:type="paragraph" w:customStyle="1" w:styleId="103">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4">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0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7">
    <w:name w:val="编号列项（三级）"/>
    <w:qFormat/>
    <w:uiPriority w:val="0"/>
    <w:pPr>
      <w:numPr>
        <w:ilvl w:val="2"/>
        <w:numId w:val="11"/>
      </w:numPr>
    </w:pPr>
    <w:rPr>
      <w:rFonts w:ascii="宋体" w:hAnsi="Times New Roman" w:eastAsia="宋体" w:cs="Times New Roman"/>
      <w:sz w:val="21"/>
      <w:lang w:val="en-US" w:eastAsia="zh-CN" w:bidi="ar-SA"/>
    </w:rPr>
  </w:style>
  <w:style w:type="paragraph" w:customStyle="1" w:styleId="108">
    <w:name w:val="列项——（一级）"/>
    <w:qFormat/>
    <w:uiPriority w:val="0"/>
    <w:pPr>
      <w:widowControl w:val="0"/>
      <w:numPr>
        <w:ilvl w:val="0"/>
        <w:numId w:val="12"/>
      </w:numPr>
      <w:jc w:val="both"/>
    </w:pPr>
    <w:rPr>
      <w:rFonts w:ascii="宋体" w:hAnsi="Times New Roman" w:eastAsia="宋体" w:cs="Times New Roman"/>
      <w:sz w:val="21"/>
      <w:lang w:val="en-US" w:eastAsia="zh-CN" w:bidi="ar-SA"/>
    </w:rPr>
  </w:style>
  <w:style w:type="paragraph" w:customStyle="1" w:styleId="109">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11">
    <w:name w:val="其他标准标志"/>
    <w:basedOn w:val="112"/>
    <w:qFormat/>
    <w:uiPriority w:val="0"/>
    <w:pPr>
      <w:framePr w:w="6101" w:wrap="around" w:vAnchor="page" w:hAnchor="page" w:x="4673" w:y="942"/>
    </w:pPr>
    <w:rPr>
      <w:w w:val="130"/>
    </w:rPr>
  </w:style>
  <w:style w:type="paragraph" w:customStyle="1" w:styleId="11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3">
    <w:name w:val="字母编号列项（一级）"/>
    <w:qFormat/>
    <w:uiPriority w:val="0"/>
    <w:pPr>
      <w:numPr>
        <w:ilvl w:val="0"/>
        <w:numId w:val="11"/>
      </w:numPr>
      <w:jc w:val="both"/>
    </w:pPr>
    <w:rPr>
      <w:rFonts w:ascii="宋体" w:hAnsi="Times New Roman" w:eastAsia="宋体" w:cs="Times New Roman"/>
      <w:sz w:val="21"/>
      <w:lang w:val="en-US" w:eastAsia="zh-CN" w:bidi="ar-SA"/>
    </w:rPr>
  </w:style>
  <w:style w:type="paragraph" w:customStyle="1" w:styleId="114">
    <w:name w:val="封面正文"/>
    <w:qFormat/>
    <w:uiPriority w:val="0"/>
    <w:pPr>
      <w:jc w:val="both"/>
    </w:pPr>
    <w:rPr>
      <w:rFonts w:ascii="Times New Roman" w:hAnsi="Times New Roman" w:eastAsia="宋体" w:cs="Times New Roman"/>
      <w:lang w:val="en-US" w:eastAsia="zh-CN" w:bidi="ar-SA"/>
    </w:rPr>
  </w:style>
  <w:style w:type="paragraph" w:customStyle="1" w:styleId="115">
    <w:name w:val="正文表标题"/>
    <w:next w:val="25"/>
    <w:qFormat/>
    <w:uiPriority w:val="0"/>
    <w:pPr>
      <w:numPr>
        <w:ilvl w:val="0"/>
        <w:numId w:val="1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6">
    <w:name w:val="附录一级条标题"/>
    <w:basedOn w:val="73"/>
    <w:next w:val="25"/>
    <w:qFormat/>
    <w:uiPriority w:val="0"/>
    <w:pPr>
      <w:numPr>
        <w:ilvl w:val="0"/>
        <w:numId w:val="0"/>
      </w:numPr>
      <w:autoSpaceDN w:val="0"/>
      <w:spacing w:beforeLines="50" w:afterLines="50"/>
      <w:outlineLvl w:val="2"/>
    </w:pPr>
  </w:style>
  <w:style w:type="paragraph" w:customStyle="1" w:styleId="117">
    <w:name w:val="附录一级无"/>
    <w:basedOn w:val="116"/>
    <w:qFormat/>
    <w:uiPriority w:val="0"/>
    <w:pPr>
      <w:spacing w:beforeLines="0" w:afterLines="0"/>
    </w:pPr>
    <w:rPr>
      <w:rFonts w:ascii="宋体" w:eastAsia="宋体"/>
      <w:szCs w:val="21"/>
    </w:rPr>
  </w:style>
  <w:style w:type="paragraph" w:customStyle="1" w:styleId="11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9">
    <w:name w:val="列项●（二级）"/>
    <w:qFormat/>
    <w:uiPriority w:val="0"/>
    <w:pPr>
      <w:numPr>
        <w:ilvl w:val="1"/>
        <w:numId w:val="12"/>
      </w:numPr>
      <w:tabs>
        <w:tab w:val="left" w:pos="840"/>
      </w:tabs>
      <w:jc w:val="both"/>
    </w:pPr>
    <w:rPr>
      <w:rFonts w:ascii="宋体" w:hAnsi="Times New Roman" w:eastAsia="宋体" w:cs="Times New Roman"/>
      <w:sz w:val="21"/>
      <w:lang w:val="en-US" w:eastAsia="zh-CN" w:bidi="ar-SA"/>
    </w:rPr>
  </w:style>
  <w:style w:type="paragraph" w:customStyle="1" w:styleId="120">
    <w:name w:val="附录三级无"/>
    <w:basedOn w:val="65"/>
    <w:qFormat/>
    <w:uiPriority w:val="0"/>
    <w:pPr>
      <w:tabs>
        <w:tab w:val="clear" w:pos="360"/>
      </w:tabs>
      <w:spacing w:beforeLines="0" w:afterLines="0"/>
    </w:pPr>
    <w:rPr>
      <w:rFonts w:ascii="宋体" w:eastAsia="宋体"/>
      <w:szCs w:val="21"/>
    </w:rPr>
  </w:style>
  <w:style w:type="paragraph" w:customStyle="1" w:styleId="121">
    <w:name w:val="封面标准英文名称2"/>
    <w:basedOn w:val="80"/>
    <w:qFormat/>
    <w:uiPriority w:val="0"/>
    <w:pPr>
      <w:framePr w:wrap="around" w:y="4469"/>
    </w:pPr>
  </w:style>
  <w:style w:type="paragraph" w:customStyle="1" w:styleId="122">
    <w:name w:val="注：（正文）"/>
    <w:basedOn w:val="123"/>
    <w:next w:val="25"/>
    <w:qFormat/>
    <w:uiPriority w:val="0"/>
  </w:style>
  <w:style w:type="paragraph" w:customStyle="1" w:styleId="123">
    <w:name w:val="注："/>
    <w:next w:val="2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24">
    <w:name w:val="数字编号列项（二级）"/>
    <w:qFormat/>
    <w:uiPriority w:val="0"/>
    <w:pPr>
      <w:numPr>
        <w:ilvl w:val="1"/>
        <w:numId w:val="11"/>
      </w:numPr>
      <w:jc w:val="both"/>
    </w:pPr>
    <w:rPr>
      <w:rFonts w:ascii="宋体" w:hAnsi="Times New Roman" w:eastAsia="宋体" w:cs="Times New Roman"/>
      <w:sz w:val="21"/>
      <w:lang w:val="en-US" w:eastAsia="zh-CN" w:bidi="ar-SA"/>
    </w:rPr>
  </w:style>
  <w:style w:type="paragraph" w:customStyle="1" w:styleId="125">
    <w:name w:val="其他发布日期"/>
    <w:basedOn w:val="74"/>
    <w:qFormat/>
    <w:uiPriority w:val="0"/>
    <w:pPr>
      <w:framePr w:wrap="around" w:vAnchor="page" w:hAnchor="text" w:x="1419"/>
    </w:pPr>
  </w:style>
  <w:style w:type="paragraph" w:customStyle="1" w:styleId="126">
    <w:name w:val="二级无"/>
    <w:basedOn w:val="75"/>
    <w:qFormat/>
    <w:uiPriority w:val="0"/>
    <w:pPr>
      <w:spacing w:beforeLines="0" w:afterLines="0"/>
    </w:pPr>
    <w:rPr>
      <w:rFonts w:ascii="宋体" w:eastAsia="宋体"/>
    </w:rPr>
  </w:style>
  <w:style w:type="paragraph" w:customStyle="1" w:styleId="127">
    <w:name w:val="标准书眉_偶数页"/>
    <w:basedOn w:val="118"/>
    <w:next w:val="1"/>
    <w:qFormat/>
    <w:uiPriority w:val="0"/>
    <w:pPr>
      <w:jc w:val="left"/>
    </w:pPr>
  </w:style>
  <w:style w:type="paragraph" w:customStyle="1" w:styleId="128">
    <w:name w:val="列项◆（三级）"/>
    <w:basedOn w:val="1"/>
    <w:qFormat/>
    <w:uiPriority w:val="0"/>
    <w:pPr>
      <w:numPr>
        <w:ilvl w:val="2"/>
        <w:numId w:val="12"/>
      </w:numPr>
    </w:pPr>
    <w:rPr>
      <w:rFonts w:ascii="宋体"/>
      <w:szCs w:val="21"/>
    </w:rPr>
  </w:style>
  <w:style w:type="paragraph" w:styleId="129">
    <w:name w:val="List Paragraph"/>
    <w:basedOn w:val="1"/>
    <w:qFormat/>
    <w:uiPriority w:val="99"/>
    <w:pPr>
      <w:ind w:firstLine="420" w:firstLineChars="200"/>
    </w:pPr>
  </w:style>
  <w:style w:type="paragraph" w:customStyle="1" w:styleId="130">
    <w:name w:val="列出段落1"/>
    <w:basedOn w:val="1"/>
    <w:qFormat/>
    <w:uiPriority w:val="34"/>
    <w:pPr>
      <w:ind w:firstLine="420" w:firstLineChars="200"/>
    </w:pPr>
  </w:style>
  <w:style w:type="paragraph" w:customStyle="1" w:styleId="131">
    <w:name w:val="条文脚注"/>
    <w:basedOn w:val="26"/>
    <w:qFormat/>
    <w:uiPriority w:val="0"/>
    <w:pPr>
      <w:numPr>
        <w:numId w:val="0"/>
      </w:numPr>
      <w:jc w:val="both"/>
    </w:pPr>
  </w:style>
  <w:style w:type="paragraph" w:customStyle="1" w:styleId="13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3">
    <w:name w:val="附录表标题"/>
    <w:basedOn w:val="1"/>
    <w:next w:val="25"/>
    <w:qFormat/>
    <w:uiPriority w:val="0"/>
    <w:pPr>
      <w:numPr>
        <w:ilvl w:val="1"/>
        <w:numId w:val="15"/>
      </w:numPr>
      <w:tabs>
        <w:tab w:val="left" w:pos="180"/>
      </w:tabs>
      <w:spacing w:beforeLines="50" w:afterLines="50"/>
      <w:ind w:left="0" w:firstLine="0"/>
      <w:jc w:val="center"/>
    </w:pPr>
    <w:rPr>
      <w:rFonts w:ascii="黑体" w:eastAsia="黑体"/>
      <w:szCs w:val="21"/>
    </w:rPr>
  </w:style>
  <w:style w:type="paragraph" w:customStyle="1" w:styleId="134">
    <w:name w:val="封面标准名称2"/>
    <w:basedOn w:val="81"/>
    <w:qFormat/>
    <w:uiPriority w:val="0"/>
    <w:pPr>
      <w:framePr w:wrap="around" w:y="4469"/>
      <w:spacing w:beforeLines="630"/>
    </w:pPr>
  </w:style>
  <w:style w:type="paragraph" w:customStyle="1" w:styleId="135">
    <w:name w:val="其他实施日期"/>
    <w:basedOn w:val="84"/>
    <w:qFormat/>
    <w:uiPriority w:val="0"/>
    <w:pPr>
      <w:framePr w:wrap="around"/>
    </w:pPr>
  </w:style>
  <w:style w:type="paragraph" w:customStyle="1" w:styleId="136">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37">
    <w:name w:val="附录四级无"/>
    <w:basedOn w:val="64"/>
    <w:qFormat/>
    <w:uiPriority w:val="0"/>
    <w:pPr>
      <w:tabs>
        <w:tab w:val="clear" w:pos="360"/>
      </w:tabs>
      <w:spacing w:beforeLines="0" w:afterLines="0"/>
    </w:pPr>
    <w:rPr>
      <w:rFonts w:ascii="宋体" w:eastAsia="宋体"/>
      <w:szCs w:val="21"/>
    </w:rPr>
  </w:style>
  <w:style w:type="paragraph" w:customStyle="1" w:styleId="138">
    <w:name w:val="注×："/>
    <w:qFormat/>
    <w:uiPriority w:val="0"/>
    <w:pPr>
      <w:widowControl w:val="0"/>
      <w:numPr>
        <w:ilvl w:val="0"/>
        <w:numId w:val="17"/>
      </w:numPr>
      <w:autoSpaceDE w:val="0"/>
      <w:autoSpaceDN w:val="0"/>
      <w:jc w:val="both"/>
    </w:pPr>
    <w:rPr>
      <w:rFonts w:ascii="宋体" w:hAnsi="Times New Roman" w:eastAsia="宋体" w:cs="Times New Roman"/>
      <w:sz w:val="18"/>
      <w:szCs w:val="18"/>
      <w:lang w:val="en-US" w:eastAsia="zh-CN" w:bidi="ar-SA"/>
    </w:rPr>
  </w:style>
  <w:style w:type="paragraph" w:customStyle="1" w:styleId="1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1">
    <w:name w:val="附录图标题"/>
    <w:basedOn w:val="1"/>
    <w:next w:val="25"/>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42">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3">
    <w:name w:val="封面标准文稿类别2"/>
    <w:basedOn w:val="78"/>
    <w:qFormat/>
    <w:uiPriority w:val="0"/>
    <w:pPr>
      <w:framePr w:wrap="around" w:y="4469"/>
    </w:pPr>
  </w:style>
  <w:style w:type="paragraph" w:customStyle="1" w:styleId="144">
    <w:name w:val="四级无"/>
    <w:basedOn w:val="95"/>
    <w:qFormat/>
    <w:uiPriority w:val="0"/>
    <w:pPr>
      <w:spacing w:beforeLines="0" w:afterLines="0"/>
    </w:pPr>
    <w:rPr>
      <w:rFonts w:ascii="宋体" w:eastAsia="宋体"/>
    </w:rPr>
  </w:style>
  <w:style w:type="paragraph" w:customStyle="1" w:styleId="145">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6">
    <w:name w:val="附录二级无"/>
    <w:basedOn w:val="66"/>
    <w:qFormat/>
    <w:uiPriority w:val="0"/>
    <w:pPr>
      <w:tabs>
        <w:tab w:val="clear" w:pos="360"/>
      </w:tabs>
      <w:spacing w:beforeLines="0" w:afterLines="0"/>
    </w:pPr>
    <w:rPr>
      <w:rFonts w:ascii="宋体" w:eastAsia="宋体"/>
      <w:szCs w:val="21"/>
    </w:rPr>
  </w:style>
  <w:style w:type="paragraph" w:customStyle="1" w:styleId="147">
    <w:name w:val="附录标识"/>
    <w:basedOn w:val="1"/>
    <w:next w:val="25"/>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8">
    <w:name w:val="其他发布部门"/>
    <w:basedOn w:val="109"/>
    <w:qFormat/>
    <w:uiPriority w:val="0"/>
    <w:pPr>
      <w:framePr w:wrap="around" w:y="15310"/>
      <w:spacing w:line="0" w:lineRule="atLeast"/>
    </w:pPr>
    <w:rPr>
      <w:rFonts w:ascii="黑体" w:eastAsia="黑体"/>
      <w:b w:val="0"/>
    </w:rPr>
  </w:style>
  <w:style w:type="paragraph" w:customStyle="1" w:styleId="14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5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51">
    <w:name w:val="附录表标号"/>
    <w:basedOn w:val="1"/>
    <w:next w:val="25"/>
    <w:qFormat/>
    <w:uiPriority w:val="0"/>
    <w:pPr>
      <w:numPr>
        <w:ilvl w:val="0"/>
        <w:numId w:val="15"/>
      </w:numPr>
      <w:spacing w:line="14" w:lineRule="exact"/>
      <w:ind w:left="811" w:hanging="448"/>
      <w:jc w:val="center"/>
      <w:outlineLvl w:val="0"/>
    </w:pPr>
    <w:rPr>
      <w:color w:val="FFFFFF"/>
    </w:rPr>
  </w:style>
  <w:style w:type="paragraph" w:customStyle="1" w:styleId="152">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5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54">
    <w:name w:val="正文文本 字符"/>
    <w:basedOn w:val="36"/>
    <w:link w:val="11"/>
    <w:qFormat/>
    <w:uiPriority w:val="99"/>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5EA30C-BDBB-490E-A34C-368A0624D408}">
  <ds:schemaRefs/>
</ds:datastoreItem>
</file>

<file path=docProps/app.xml><?xml version="1.0" encoding="utf-8"?>
<Properties xmlns="http://schemas.openxmlformats.org/officeDocument/2006/extended-properties" xmlns:vt="http://schemas.openxmlformats.org/officeDocument/2006/docPropsVTypes">
  <Template>Normal</Template>
  <Pages>5</Pages>
  <Words>1103</Words>
  <Characters>1312</Characters>
  <Lines>15</Lines>
  <Paragraphs>4</Paragraphs>
  <TotalTime>1</TotalTime>
  <ScaleCrop>false</ScaleCrop>
  <LinksUpToDate>false</LinksUpToDate>
  <CharactersWithSpaces>1357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2023-08-30T02:44:00Z</dcterms:created>
  <cp:lastPrinted>2021-11-04T12:22:00Z</cp:lastPrinted>
  <dcterms:modified xsi:type="dcterms:W3CDTF">2023-09-13T09:52:41Z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E640A5C8AA4D48F0A486E5F03225B7DC_13</vt:lpwstr>
  </property>
</Properties>
</file>